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746" w:rsidRDefault="00BD7746" w:rsidP="00BD7746">
      <w:pPr>
        <w:spacing w:after="95" w:line="398" w:lineRule="auto"/>
        <w:ind w:left="0" w:right="1630" w:firstLine="0"/>
      </w:pPr>
    </w:p>
    <w:p w:rsidR="00BD7746" w:rsidRPr="001C7693" w:rsidRDefault="00BD7746" w:rsidP="00BD7746">
      <w:pPr>
        <w:ind w:right="-30"/>
        <w:jc w:val="right"/>
        <w:rPr>
          <w:sz w:val="20"/>
          <w:szCs w:val="20"/>
        </w:rPr>
      </w:pPr>
      <w:r w:rsidRPr="001C7693">
        <w:rPr>
          <w:sz w:val="20"/>
          <w:szCs w:val="20"/>
        </w:rPr>
        <w:t>Załącznik nr 1</w:t>
      </w:r>
      <w:r w:rsidR="00331852" w:rsidRPr="001C7693">
        <w:rPr>
          <w:sz w:val="20"/>
          <w:szCs w:val="20"/>
        </w:rPr>
        <w:t>2</w:t>
      </w:r>
      <w:r w:rsidRPr="001C7693">
        <w:rPr>
          <w:sz w:val="20"/>
          <w:szCs w:val="20"/>
        </w:rPr>
        <w:t xml:space="preserve"> do Re</w:t>
      </w:r>
      <w:r w:rsidR="00A60424" w:rsidRPr="001C7693">
        <w:rPr>
          <w:sz w:val="20"/>
          <w:szCs w:val="20"/>
        </w:rPr>
        <w:t xml:space="preserve">gulaminu </w:t>
      </w:r>
      <w:r w:rsidR="00A60424" w:rsidRPr="001C7693">
        <w:rPr>
          <w:sz w:val="20"/>
          <w:szCs w:val="20"/>
        </w:rPr>
        <w:br/>
      </w:r>
      <w:r w:rsidR="005F71B7" w:rsidRPr="001C7693">
        <w:rPr>
          <w:sz w:val="20"/>
          <w:szCs w:val="20"/>
        </w:rPr>
        <w:t xml:space="preserve">naboru </w:t>
      </w:r>
      <w:r w:rsidR="00A60424" w:rsidRPr="001C7693">
        <w:rPr>
          <w:sz w:val="20"/>
          <w:szCs w:val="20"/>
        </w:rPr>
        <w:t>nr RPWM.06.02.03</w:t>
      </w:r>
      <w:r w:rsidRPr="001C7693">
        <w:rPr>
          <w:sz w:val="20"/>
          <w:szCs w:val="20"/>
        </w:rPr>
        <w:t>-IZ.00-28-00</w:t>
      </w:r>
      <w:r w:rsidR="00A60424" w:rsidRPr="001C7693">
        <w:rPr>
          <w:sz w:val="20"/>
          <w:szCs w:val="20"/>
        </w:rPr>
        <w:t>3</w:t>
      </w:r>
      <w:r w:rsidRPr="001C7693">
        <w:rPr>
          <w:sz w:val="20"/>
          <w:szCs w:val="20"/>
        </w:rPr>
        <w:t>/17(…)</w:t>
      </w:r>
      <w:r w:rsidRPr="001C7693">
        <w:rPr>
          <w:sz w:val="20"/>
          <w:szCs w:val="20"/>
        </w:rPr>
        <w:br/>
        <w:t xml:space="preserve"> z </w:t>
      </w:r>
      <w:r w:rsidR="00A60424" w:rsidRPr="001C7693">
        <w:rPr>
          <w:sz w:val="20"/>
          <w:szCs w:val="20"/>
        </w:rPr>
        <w:t>…………………..</w:t>
      </w:r>
      <w:r w:rsidRPr="001C7693">
        <w:rPr>
          <w:sz w:val="20"/>
          <w:szCs w:val="20"/>
        </w:rPr>
        <w:t xml:space="preserve"> 2017 r.</w:t>
      </w:r>
    </w:p>
    <w:p w:rsidR="00BD7746" w:rsidRDefault="00331852" w:rsidP="00BD7746">
      <w:pPr>
        <w:spacing w:after="95" w:line="398" w:lineRule="auto"/>
        <w:ind w:left="-5" w:right="1630"/>
      </w:pPr>
      <w:r>
        <w:t xml:space="preserve">Karta z definicjami </w:t>
      </w:r>
      <w:r w:rsidR="00BD7746">
        <w:t>Kryteri</w:t>
      </w:r>
      <w:r>
        <w:t>ów</w:t>
      </w:r>
      <w:r w:rsidR="00BD7746">
        <w:t xml:space="preserve"> wyboru projektów </w:t>
      </w:r>
      <w:r w:rsidR="00413331">
        <w:t xml:space="preserve"> wraz z wymogami formalnymi </w:t>
      </w:r>
      <w:r w:rsidR="00BD7746">
        <w:t xml:space="preserve">w ramach osi priorytetowej Kultura i dziedzictwo;  </w:t>
      </w:r>
      <w:r w:rsidR="00A60424">
        <w:t>Poddziałanie 6.2.3</w:t>
      </w:r>
      <w:r w:rsidR="00BD7746">
        <w:t xml:space="preserve"> </w:t>
      </w:r>
      <w:r w:rsidR="00A60424">
        <w:t>Efektywne wykorzystanie zasobów</w:t>
      </w:r>
      <w:r w:rsidR="00BD7746">
        <w:t xml:space="preserve"> (tryb </w:t>
      </w:r>
      <w:r w:rsidR="00A60424">
        <w:t>poza</w:t>
      </w:r>
      <w:r w:rsidR="00BD7746">
        <w:t xml:space="preserve">konkursowy) </w:t>
      </w:r>
    </w:p>
    <w:p w:rsidR="006C1181" w:rsidRDefault="00BD7746" w:rsidP="00BD7746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b/>
          <w:sz w:val="24"/>
        </w:rPr>
        <w:t xml:space="preserve"> </w:t>
      </w:r>
    </w:p>
    <w:tbl>
      <w:tblPr>
        <w:tblpPr w:leftFromText="141" w:rightFromText="141" w:vertAnchor="text" w:tblpXSpec="center" w:tblpY="1"/>
        <w:tblOverlap w:val="never"/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"/>
        <w:gridCol w:w="2880"/>
        <w:gridCol w:w="6670"/>
        <w:gridCol w:w="4553"/>
      </w:tblGrid>
      <w:tr w:rsidR="006C1181" w:rsidRPr="006C1181" w:rsidTr="007033BB">
        <w:trPr>
          <w:trHeight w:val="1405"/>
        </w:trPr>
        <w:tc>
          <w:tcPr>
            <w:tcW w:w="5000" w:type="pct"/>
            <w:gridSpan w:val="4"/>
            <w:shd w:val="clear" w:color="auto" w:fill="B2A1C7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40" w:lineRule="auto"/>
              <w:ind w:left="0" w:right="0" w:firstLine="360"/>
              <w:jc w:val="center"/>
              <w:rPr>
                <w:rFonts w:ascii="Calibri" w:eastAsia="Times New Roman" w:hAnsi="Calibri"/>
                <w:b/>
                <w:bCs/>
                <w:color w:val="auto"/>
                <w:sz w:val="32"/>
                <w:szCs w:val="32"/>
              </w:rPr>
            </w:pPr>
            <w:r w:rsidRPr="006C1181">
              <w:rPr>
                <w:rFonts w:ascii="Calibri" w:eastAsia="Times New Roman" w:hAnsi="Calibri"/>
                <w:b/>
                <w:bCs/>
                <w:color w:val="auto"/>
                <w:sz w:val="32"/>
                <w:szCs w:val="32"/>
              </w:rPr>
              <w:t>WYMOGI FORMALNE WYBORU PROJEKTÓW POZAKONKURSOWYCH W RAMACH REGIONALNEGO PROGRAMU OPERACYJNEGO WOJEW</w:t>
            </w:r>
            <w:bookmarkStart w:id="0" w:name="_GoBack"/>
            <w:bookmarkEnd w:id="0"/>
            <w:r w:rsidRPr="006C1181">
              <w:rPr>
                <w:rFonts w:ascii="Calibri" w:eastAsia="Times New Roman" w:hAnsi="Calibri"/>
                <w:b/>
                <w:bCs/>
                <w:color w:val="auto"/>
                <w:sz w:val="32"/>
                <w:szCs w:val="32"/>
              </w:rPr>
              <w:t>ÓDZTWA WARMIŃSKO-MAZURSKIEGO NA LATA 2014-2020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 w:cs="Tahoma"/>
                <w:b/>
                <w:i/>
                <w:iCs/>
                <w:color w:val="auto"/>
                <w:sz w:val="18"/>
                <w:szCs w:val="18"/>
                <w:lang w:eastAsia="en-US"/>
              </w:rPr>
            </w:pPr>
            <w:r w:rsidRPr="006C1181">
              <w:rPr>
                <w:rFonts w:ascii="Calibri" w:eastAsia="Calibri" w:hAnsi="Calibri" w:cs="Tahoma"/>
                <w:b/>
                <w:i/>
                <w:iCs/>
                <w:color w:val="auto"/>
                <w:sz w:val="18"/>
                <w:szCs w:val="18"/>
                <w:lang w:eastAsia="en-US"/>
              </w:rPr>
              <w:t>W trybie pozakonkursowym instytucja może określić tryb uzupełnienia wniosku o dofinansowanie. W przypadku braku uzupełnienia wniosku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40" w:lineRule="auto"/>
              <w:ind w:left="0" w:right="0" w:firstLine="360"/>
              <w:jc w:val="center"/>
              <w:rPr>
                <w:rFonts w:ascii="Calibri" w:eastAsia="Times New Roman" w:hAnsi="Calibri" w:cs="Tahoma"/>
                <w:b/>
                <w:bCs/>
                <w:i/>
                <w:color w:val="auto"/>
                <w:sz w:val="18"/>
                <w:szCs w:val="18"/>
              </w:rPr>
            </w:pPr>
            <w:r w:rsidRPr="006C1181">
              <w:rPr>
                <w:rFonts w:ascii="Calibri" w:eastAsia="Calibri" w:hAnsi="Calibri" w:cs="Tahoma"/>
                <w:b/>
                <w:i/>
                <w:iCs/>
                <w:sz w:val="18"/>
                <w:szCs w:val="18"/>
              </w:rPr>
              <w:t>lub niezłożenia wymaganych wyjaśnień projekt nie zostaje dopuszczony do oceny lub dalszej oceny.</w:t>
            </w:r>
          </w:p>
        </w:tc>
      </w:tr>
      <w:tr w:rsidR="006C1181" w:rsidRPr="006C1181" w:rsidTr="007033BB">
        <w:trPr>
          <w:trHeight w:val="435"/>
        </w:trPr>
        <w:tc>
          <w:tcPr>
            <w:tcW w:w="86" w:type="pct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iCs/>
                <w:color w:val="auto"/>
                <w:sz w:val="18"/>
                <w:szCs w:val="18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</w:rPr>
              <w:t>Lp.</w:t>
            </w:r>
          </w:p>
        </w:tc>
        <w:tc>
          <w:tcPr>
            <w:tcW w:w="1014" w:type="pct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iCs/>
                <w:color w:val="auto"/>
                <w:sz w:val="18"/>
                <w:szCs w:val="18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</w:rPr>
              <w:t>Nazwa wymogu</w:t>
            </w:r>
          </w:p>
        </w:tc>
        <w:tc>
          <w:tcPr>
            <w:tcW w:w="2313" w:type="pct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iCs/>
                <w:color w:val="auto"/>
                <w:sz w:val="18"/>
                <w:szCs w:val="18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</w:rPr>
              <w:t>Definicja wymogu</w:t>
            </w:r>
          </w:p>
        </w:tc>
        <w:tc>
          <w:tcPr>
            <w:tcW w:w="1586" w:type="pct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spacing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Cs/>
                <w:strike/>
                <w:color w:val="auto"/>
                <w:szCs w:val="18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</w:rPr>
              <w:t>Opis wymogu</w:t>
            </w:r>
          </w:p>
        </w:tc>
      </w:tr>
      <w:tr w:rsidR="006C1181" w:rsidRPr="006C1181" w:rsidTr="007033BB">
        <w:trPr>
          <w:trHeight w:val="501"/>
        </w:trPr>
        <w:tc>
          <w:tcPr>
            <w:tcW w:w="86" w:type="pct"/>
            <w:vMerge/>
            <w:shd w:val="clear" w:color="auto" w:fill="B2A1C7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i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14" w:type="pct"/>
            <w:vMerge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i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13" w:type="pct"/>
            <w:vMerge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i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86" w:type="pct"/>
            <w:vMerge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40" w:lineRule="auto"/>
              <w:ind w:left="0" w:right="0" w:firstLine="0"/>
              <w:jc w:val="center"/>
              <w:rPr>
                <w:rFonts w:ascii="Tahoma" w:eastAsia="Calibri" w:hAnsi="Tahoma" w:cs="Tahoma"/>
                <w:b/>
                <w:bCs/>
                <w:strike/>
                <w:color w:val="auto"/>
                <w:lang w:eastAsia="en-US"/>
              </w:rPr>
            </w:pPr>
          </w:p>
        </w:tc>
      </w:tr>
      <w:tr w:rsidR="006C1181" w:rsidRPr="006C1181" w:rsidTr="007033BB">
        <w:trPr>
          <w:trHeight w:val="1277"/>
        </w:trPr>
        <w:tc>
          <w:tcPr>
            <w:tcW w:w="86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14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36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</w:rPr>
              <w:t>Kompletność wniosku</w:t>
            </w:r>
          </w:p>
        </w:tc>
        <w:tc>
          <w:tcPr>
            <w:tcW w:w="2313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Wniosek o dofinansowanie jest kompletny, spójny i sporządzony zgodnie z instrukcją wypełniania wniosku o dofinansowanie i regulaminem naboru.</w:t>
            </w:r>
          </w:p>
        </w:tc>
        <w:tc>
          <w:tcPr>
            <w:tcW w:w="1586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Wymóg formalny zerojedynkowy.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u w:val="single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Ocena spełniania wymogu polega na przypisaniu im wartości logicznych „tak” lub „nie”.</w:t>
            </w:r>
          </w:p>
        </w:tc>
      </w:tr>
      <w:tr w:rsidR="006C1181" w:rsidRPr="006C1181" w:rsidTr="007033BB">
        <w:trPr>
          <w:trHeight w:val="1067"/>
        </w:trPr>
        <w:tc>
          <w:tcPr>
            <w:tcW w:w="86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14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36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</w:rPr>
              <w:t>Kompletność załączników</w:t>
            </w:r>
          </w:p>
        </w:tc>
        <w:tc>
          <w:tcPr>
            <w:tcW w:w="2313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</w:rPr>
              <w:t>Załączniki do wniosku o dofinansowanie są kompletne, spójne i sporządzone zgodnie z instrukcją wypełniania załączników i regulaminem naboru.</w:t>
            </w:r>
          </w:p>
        </w:tc>
        <w:tc>
          <w:tcPr>
            <w:tcW w:w="1586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Wymóg formalny zerojedynkowy.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u w:val="single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Ocena spełniania wymogu polega na przypisaniu im wartości logicznych „tak” lub „nie”.</w:t>
            </w:r>
          </w:p>
        </w:tc>
      </w:tr>
    </w:tbl>
    <w:p w:rsidR="006C1181" w:rsidRPr="006C1181" w:rsidRDefault="006C1181" w:rsidP="006C1181">
      <w:pPr>
        <w:spacing w:after="200" w:line="276" w:lineRule="auto"/>
        <w:ind w:left="0" w:right="0" w:firstLine="0"/>
        <w:rPr>
          <w:rFonts w:eastAsia="Times New Roman"/>
          <w:color w:val="auto"/>
          <w:lang w:eastAsia="en-US"/>
        </w:rPr>
      </w:pPr>
    </w:p>
    <w:p w:rsidR="006C1181" w:rsidRDefault="006C1181" w:rsidP="006C118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eastAsia="Times New Roman"/>
          <w:sz w:val="24"/>
          <w:szCs w:val="24"/>
        </w:rPr>
      </w:pPr>
      <w:r w:rsidRPr="006C1181">
        <w:rPr>
          <w:rFonts w:eastAsia="Times New Roman"/>
          <w:sz w:val="24"/>
          <w:szCs w:val="24"/>
        </w:rPr>
        <w:br w:type="page"/>
      </w:r>
    </w:p>
    <w:p w:rsidR="00350052" w:rsidRDefault="00350052" w:rsidP="006C118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eastAsia="Times New Roman"/>
          <w:sz w:val="24"/>
          <w:szCs w:val="24"/>
        </w:rPr>
      </w:pPr>
    </w:p>
    <w:p w:rsidR="00350052" w:rsidRPr="006C1181" w:rsidRDefault="00350052" w:rsidP="006C118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eastAsia="Times New Roman" w:cs="Calibri"/>
          <w:sz w:val="24"/>
          <w:szCs w:val="24"/>
        </w:rPr>
      </w:pPr>
    </w:p>
    <w:tbl>
      <w:tblPr>
        <w:tblpPr w:leftFromText="141" w:rightFromText="141" w:vertAnchor="text" w:tblpX="-41" w:tblpY="1"/>
        <w:tblOverlap w:val="never"/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6"/>
        <w:gridCol w:w="2937"/>
        <w:gridCol w:w="6257"/>
        <w:gridCol w:w="4949"/>
      </w:tblGrid>
      <w:tr w:rsidR="006C1181" w:rsidRPr="006C1181" w:rsidTr="00350052">
        <w:tc>
          <w:tcPr>
            <w:tcW w:w="14529" w:type="dxa"/>
            <w:gridSpan w:val="4"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KRYTERIA FORMALNE WYBORU PROJEKTÓW (OBLIGATORYJNE)</w:t>
            </w:r>
          </w:p>
        </w:tc>
      </w:tr>
      <w:tr w:rsidR="006C1181" w:rsidRPr="006C1181" w:rsidTr="00350052">
        <w:trPr>
          <w:trHeight w:val="364"/>
        </w:trPr>
        <w:tc>
          <w:tcPr>
            <w:tcW w:w="386" w:type="dxa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2937" w:type="dxa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Nazwa kryterium</w:t>
            </w:r>
          </w:p>
        </w:tc>
        <w:tc>
          <w:tcPr>
            <w:tcW w:w="6257" w:type="dxa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Definicja kryterium</w:t>
            </w:r>
          </w:p>
        </w:tc>
        <w:tc>
          <w:tcPr>
            <w:tcW w:w="4949" w:type="dxa"/>
            <w:vMerge w:val="restart"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40" w:lineRule="auto"/>
              <w:ind w:left="0" w:right="0" w:firstLine="0"/>
              <w:jc w:val="center"/>
              <w:rPr>
                <w:rFonts w:ascii="Calibri" w:eastAsia="Calibri" w:hAnsi="Calibri" w:cs="Tahoma"/>
                <w:b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b/>
                <w:color w:val="auto"/>
                <w:sz w:val="20"/>
                <w:lang w:eastAsia="en-US"/>
              </w:rPr>
              <w:t>Opis kryterium</w:t>
            </w:r>
          </w:p>
        </w:tc>
      </w:tr>
      <w:tr w:rsidR="006C1181" w:rsidRPr="006C1181" w:rsidTr="00350052">
        <w:trPr>
          <w:trHeight w:val="444"/>
        </w:trPr>
        <w:tc>
          <w:tcPr>
            <w:tcW w:w="386" w:type="dxa"/>
            <w:vMerge/>
            <w:shd w:val="clear" w:color="auto" w:fill="B2A1C7"/>
            <w:vAlign w:val="center"/>
          </w:tcPr>
          <w:p w:rsidR="006C1181" w:rsidRPr="006C1181" w:rsidRDefault="006C1181" w:rsidP="006C1181">
            <w:pPr>
              <w:suppressAutoHyphens/>
              <w:spacing w:before="12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37" w:type="dxa"/>
            <w:vMerge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257" w:type="dxa"/>
            <w:vMerge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949" w:type="dxa"/>
            <w:vMerge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after="0" w:line="240" w:lineRule="auto"/>
              <w:ind w:left="0" w:right="0" w:firstLine="0"/>
              <w:jc w:val="center"/>
              <w:rPr>
                <w:rFonts w:ascii="Calibri" w:eastAsia="Calibri" w:hAnsi="Calibri" w:cs="Tahoma"/>
                <w:b/>
                <w:bCs/>
                <w:iCs/>
                <w:color w:val="auto"/>
                <w:sz w:val="20"/>
                <w:lang w:eastAsia="en-US"/>
              </w:rPr>
            </w:pPr>
          </w:p>
        </w:tc>
      </w:tr>
      <w:tr w:rsidR="006C1181" w:rsidRPr="006C1181" w:rsidTr="00350052">
        <w:tc>
          <w:tcPr>
            <w:tcW w:w="386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93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Projekt znajduje się w Wykazie projektów zidentyfikowanych przez IZ RPO WiM w ramach trybu pozakonkursowego stanowiącym załącznik do SZOOP</w:t>
            </w:r>
          </w:p>
        </w:tc>
        <w:tc>
          <w:tcPr>
            <w:tcW w:w="625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Weryfikowane będzie czy dany projekt znajduje się w załączniku do SZOOP</w:t>
            </w:r>
          </w:p>
        </w:tc>
        <w:tc>
          <w:tcPr>
            <w:tcW w:w="4949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Kryterium obligatoryjne.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Spełnienie kryterium jest konieczne do przyznania dofinansowania.</w:t>
            </w:r>
          </w:p>
        </w:tc>
      </w:tr>
      <w:tr w:rsidR="006C1181" w:rsidRPr="006C1181" w:rsidTr="00350052">
        <w:tc>
          <w:tcPr>
            <w:tcW w:w="386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93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Kwalifikowanie się projektu w ramach danego działania /poddziałania zgodnie z zapisami SZOOP i Regulaminu</w:t>
            </w:r>
          </w:p>
        </w:tc>
        <w:tc>
          <w:tcPr>
            <w:tcW w:w="6257" w:type="dxa"/>
            <w:vAlign w:val="center"/>
          </w:tcPr>
          <w:p w:rsidR="006C1181" w:rsidRPr="006C1181" w:rsidRDefault="006C1181" w:rsidP="006C1181">
            <w:pPr>
              <w:keepNext/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Projekt wpisuje się w założenia określone w SZOOP i regulaminie, a przyjęte założenia projektu kwalifikują go do wsparcia w ramach konkursu, w ramach którego został on złożony, w szczególności  projekt mieści się w katalogu możliwych do realizacji typów projektów w danym działaniu, wskazanych w regulaminie naboru.</w:t>
            </w:r>
          </w:p>
        </w:tc>
        <w:tc>
          <w:tcPr>
            <w:tcW w:w="4949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350052">
        <w:tc>
          <w:tcPr>
            <w:tcW w:w="386" w:type="dxa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93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Nie podleganie wykluczeniu z  możliwości ubiegania się o dofinansowanie ze środków UE na podstawie odrębnych przepisów.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25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Wnioskodawca oraz partnerzy (o ile dotyczy) nie podlegają wykluczeniu z możliwości otrzymania dofinansowania, w tym wykluczeniu, o którym mowa w:</w:t>
            </w:r>
          </w:p>
          <w:p w:rsidR="006C1181" w:rsidRPr="006C1181" w:rsidRDefault="006C1181" w:rsidP="006C1181">
            <w:pPr>
              <w:keepNext/>
              <w:numPr>
                <w:ilvl w:val="0"/>
                <w:numId w:val="18"/>
              </w:numPr>
              <w:tabs>
                <w:tab w:val="left" w:pos="0"/>
              </w:tabs>
              <w:suppressAutoHyphens/>
              <w:snapToGrid w:val="0"/>
              <w:spacing w:before="120" w:after="0" w:line="288" w:lineRule="auto"/>
              <w:ind w:left="419" w:right="0" w:hanging="357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ustawie z dnia 27 sierpnia 2009 r. o finansach publicznych;</w:t>
            </w:r>
          </w:p>
          <w:p w:rsidR="006C1181" w:rsidRPr="006C1181" w:rsidRDefault="006C1181" w:rsidP="006C1181">
            <w:pPr>
              <w:numPr>
                <w:ilvl w:val="0"/>
                <w:numId w:val="18"/>
              </w:numPr>
              <w:suppressAutoHyphens/>
              <w:spacing w:before="120" w:after="0" w:line="288" w:lineRule="auto"/>
              <w:ind w:left="419" w:right="0" w:hanging="357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ustawie z dnia 15 czerwca 2012 r. o skutkach powierzania wykonywania pracy cudzoziemcom przebywającym wbrew przepisom na terytorium Rzeczpospolitej Polskiej</w:t>
            </w:r>
          </w:p>
          <w:p w:rsidR="006C1181" w:rsidRPr="006C1181" w:rsidRDefault="006C1181" w:rsidP="006C1181">
            <w:pPr>
              <w:keepNext/>
              <w:numPr>
                <w:ilvl w:val="0"/>
                <w:numId w:val="18"/>
              </w:numPr>
              <w:suppressAutoHyphens/>
              <w:snapToGrid w:val="0"/>
              <w:spacing w:before="120" w:after="120" w:line="288" w:lineRule="auto"/>
              <w:ind w:left="419" w:right="0" w:hanging="357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 xml:space="preserve">ustawie z dnia 28 października 2002 r. o odpowiedzialności </w:t>
            </w: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lastRenderedPageBreak/>
              <w:t>podmiotów zbiorowych za czyny zabronione pod groźbą kary.</w:t>
            </w:r>
          </w:p>
          <w:p w:rsidR="006C1181" w:rsidRPr="006C1181" w:rsidRDefault="006C1181" w:rsidP="006C1181">
            <w:pPr>
              <w:keepNext/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weryfikowane na podstawie oświadczenia wnioskodawcy i partnerów, (jeśli dotyczy).</w:t>
            </w:r>
          </w:p>
        </w:tc>
        <w:tc>
          <w:tcPr>
            <w:tcW w:w="4949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lastRenderedPageBreak/>
              <w:t>Kryterium obligatoryjne.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u w:val="single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350052">
        <w:tc>
          <w:tcPr>
            <w:tcW w:w="386" w:type="dxa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937" w:type="dxa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Wartość projektu oraz poziom dofinansowania projektu.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257" w:type="dxa"/>
            <w:vAlign w:val="center"/>
          </w:tcPr>
          <w:p w:rsidR="006C1181" w:rsidRPr="006C1181" w:rsidRDefault="006C1181" w:rsidP="006C1181">
            <w:pPr>
              <w:keepNext/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Wartość projektu i jego poziom dofinansowania są zgodne z minimalną i maksymalną wartością projektu oraz minimalnym i maksymalnym poziomem dofinansowania obowiązującymi dla danego działania/poddziałania/typu projektu określonymi w SZOOP oraz w regulaminie naboru.</w:t>
            </w:r>
          </w:p>
        </w:tc>
        <w:tc>
          <w:tcPr>
            <w:tcW w:w="4949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 albo stwierdzeniu, że kryterium nie dotyczy danego projektu</w:t>
            </w:r>
            <w:r w:rsidRPr="006C1181">
              <w:rPr>
                <w:rFonts w:ascii="Calibri" w:eastAsia="Times New Roman" w:hAnsi="Calibri" w:cs="Tahoma"/>
                <w:strike/>
                <w:color w:val="auto"/>
                <w:sz w:val="20"/>
                <w:szCs w:val="20"/>
                <w:lang w:eastAsia="en-US"/>
              </w:rPr>
              <w:t>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u w:val="single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350052">
        <w:tc>
          <w:tcPr>
            <w:tcW w:w="386" w:type="dxa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93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sz w:val="20"/>
                <w:lang w:eastAsia="en-US"/>
              </w:rPr>
              <w:t xml:space="preserve"> 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sz w:val="20"/>
                <w:lang w:eastAsia="en-US"/>
              </w:rPr>
              <w:t>Spełnienie wymogów w odniesieniu do projektu partnerskiego.</w:t>
            </w:r>
          </w:p>
        </w:tc>
        <w:tc>
          <w:tcPr>
            <w:tcW w:w="625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sz w:val="20"/>
                <w:lang w:eastAsia="en-US"/>
              </w:rPr>
              <w:t>Weryfikowane będzie spełnienie przez Wnioskodawcę wymogów w zakresie utworzenia partnerstwa zgodnie z ustawą wdrożeniową.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sz w:val="20"/>
                <w:lang w:eastAsia="en-US"/>
              </w:rPr>
              <w:t>Kryterium będzie weryfikowane na podstawie zawartego i dołączonego do wniosku o dofinansowanie porozumienia lub / oraz umowy wnioskodawcy oraz treści wniosku o dofinansowanie.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sz w:val="20"/>
                <w:lang w:eastAsia="en-US"/>
              </w:rPr>
            </w:pPr>
          </w:p>
        </w:tc>
        <w:tc>
          <w:tcPr>
            <w:tcW w:w="4949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 albo stwierdzeniu, że kryterium nie dotyczy danego projektu.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u w:val="single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350052">
        <w:tc>
          <w:tcPr>
            <w:tcW w:w="386" w:type="dxa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93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Uprawnienia podmiotu do ubiegania się o dofinansowanie</w:t>
            </w:r>
          </w:p>
        </w:tc>
        <w:tc>
          <w:tcPr>
            <w:tcW w:w="625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Weryfikowana będzie zgodność formy prawnej Wnioskodawcy/partnera (jeśli dotyczy) z typem beneficjentów wskazanym w SZOOP i regulaminie naboru.</w:t>
            </w:r>
          </w:p>
        </w:tc>
        <w:tc>
          <w:tcPr>
            <w:tcW w:w="4949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Cs/>
                <w:color w:val="auto"/>
                <w:sz w:val="20"/>
                <w:szCs w:val="20"/>
                <w:lang w:eastAsia="en-US"/>
              </w:rPr>
              <w:t>Kryterium obligatoryjne.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u w:val="single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350052">
        <w:tc>
          <w:tcPr>
            <w:tcW w:w="386" w:type="dxa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93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>Obszar realizacji projektu</w:t>
            </w:r>
          </w:p>
        </w:tc>
        <w:tc>
          <w:tcPr>
            <w:tcW w:w="6257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 xml:space="preserve">Weryfikowane będzie czy wskazany obszar realizacji projektu jest zgodny ze wskazanym w  SZOOP  i regulaminie naboru.  </w:t>
            </w:r>
          </w:p>
        </w:tc>
        <w:tc>
          <w:tcPr>
            <w:tcW w:w="4949" w:type="dxa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Cs/>
                <w:color w:val="auto"/>
                <w:sz w:val="20"/>
                <w:szCs w:val="20"/>
                <w:lang w:eastAsia="en-US"/>
              </w:rPr>
              <w:t>Kryterium obligatoryjne.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„tak”,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Cs/>
                <w:color w:val="auto"/>
                <w:sz w:val="20"/>
                <w:szCs w:val="20"/>
                <w:lang w:eastAsia="en-US"/>
              </w:rPr>
              <w:lastRenderedPageBreak/>
              <w:t>W przypadku niespełnienia kryterium wnioskodawca zostanie wezwany do poprawienia/uzupełnienia dokumentów we wskazanym terminie.</w:t>
            </w:r>
          </w:p>
        </w:tc>
      </w:tr>
    </w:tbl>
    <w:p w:rsidR="00350052" w:rsidRPr="006C1181" w:rsidRDefault="00350052" w:rsidP="006C1181">
      <w:pPr>
        <w:spacing w:after="200" w:line="276" w:lineRule="auto"/>
        <w:ind w:left="0" w:right="0" w:firstLine="0"/>
        <w:rPr>
          <w:rFonts w:eastAsia="Times New Roman"/>
          <w:color w:val="auto"/>
          <w:lang w:eastAsia="en-US"/>
        </w:rPr>
      </w:pP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"/>
        <w:gridCol w:w="2878"/>
        <w:gridCol w:w="6592"/>
        <w:gridCol w:w="4619"/>
      </w:tblGrid>
      <w:tr w:rsidR="006C1181" w:rsidRPr="006C1181" w:rsidTr="007033BB">
        <w:trPr>
          <w:jc w:val="center"/>
        </w:trPr>
        <w:tc>
          <w:tcPr>
            <w:tcW w:w="5000" w:type="pct"/>
            <w:gridSpan w:val="4"/>
            <w:shd w:val="clear" w:color="auto" w:fill="B2A1C7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Cs/>
                <w:strike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KRYTERIA MERYTORYCZNE OGÓLNE WYBORU PROJEKTÓW (OBLIGATORYJNE)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shd w:val="clear" w:color="auto" w:fill="B2A1C7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1013" w:type="pct"/>
            <w:shd w:val="clear" w:color="auto" w:fill="B2A1C7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Nazwa kryterium</w:t>
            </w:r>
          </w:p>
        </w:tc>
        <w:tc>
          <w:tcPr>
            <w:tcW w:w="2289" w:type="pct"/>
            <w:shd w:val="clear" w:color="auto" w:fill="B2A1C7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Definicja kryterium</w:t>
            </w:r>
          </w:p>
        </w:tc>
        <w:tc>
          <w:tcPr>
            <w:tcW w:w="1611" w:type="pct"/>
            <w:shd w:val="clear" w:color="auto" w:fill="B2A1C7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Opis kryterium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strike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Możliwość uzyskania dofinansowania przez projekt</w:t>
            </w: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Weryfikowana będzie możliwość uzyskania dofinansowania na podstawie analizy wniosku i studium wykonalności.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 xml:space="preserve">Kryterium obligatoryjne 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Zgodność projektu z zasadą równości szans kobiet i mężczyzn</w:t>
            </w:r>
          </w:p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0000FF"/>
                <w:sz w:val="20"/>
                <w:szCs w:val="20"/>
                <w:lang w:eastAsia="en-US"/>
              </w:rPr>
            </w:pP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Weryfikowany będzie pozytywny lub neutralny wpływ projektu na zasadę horyzontalną UE: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360"/>
              <w:jc w:val="left"/>
              <w:rPr>
                <w:rFonts w:ascii="Calibri" w:eastAsia="Times New Roman" w:hAnsi="Calibri" w:cs="Tahoma"/>
                <w:bCs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- promowanie równości szans kobiet i mężczyzn oraz niedyskryminacji, zgodnie z art. 7 Rozporządzenia Parlamentu Europejskiego i Rady (UE) nr 1303/2013 z dnia 17 grudnia 2013 r. oraz Wytycznymi w zakresie realizacji zasady równości szans i niedyskryminacji, w tym dostępności dla osób z niepełnosprawnościami oraz zasady równości szans kobiet i mężczyzn w ramach funduszy unijnych na lata 2014-2020.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 xml:space="preserve">Kryterium obligatoryjne 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Zgodność projektu z zasadą równości szans i niedyskryminacji w tym dostępności dla osób z niepełnosprawnościami</w:t>
            </w: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Weryfikowany będzie pozytywny wpływ projektu na zasadę horyzontalną UE: promowanie równości szans i niedyskryminacji w tym dostępności dla osób z niepełnosprawnościami, zgodnie z art. 7 Rozporządzenia Parlamentu Europejskiego i Rady (UE) nr 1303/2013 z dnia 17 grudnia 2013 r. oraz z Wytycznymi w zakresie realizacji zasady równości szans i niedyskryminacji, w tym dostępności dla osób z niepełnosprawnościami oraz zasady równości szans kobiet i mężczyzn w ramach funduszy unijnych na lata 2014-2020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 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</w:rPr>
              <w:t>Zgodność projektu z  politykami horyzontalnymi Unii  Europejskiej – zrównoważony rozwój</w:t>
            </w: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pacing w:after="200" w:line="276" w:lineRule="auto"/>
              <w:ind w:left="0" w:right="0" w:firstLine="0"/>
              <w:rPr>
                <w:rFonts w:ascii="Calibri" w:eastAsia="Calibri" w:hAnsi="Calibri" w:cs="Calibri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lang w:eastAsia="en-US"/>
              </w:rPr>
              <w:t xml:space="preserve">Weryfikowany będzie pozytywny lub neutralny wpływ projektu na zasadę horyzontalną UE zrównoważony rozwój: </w:t>
            </w:r>
          </w:p>
          <w:p w:rsidR="006C1181" w:rsidRPr="006C1181" w:rsidRDefault="006C1181" w:rsidP="006C1181">
            <w:pPr>
              <w:spacing w:after="200" w:line="276" w:lineRule="auto"/>
              <w:ind w:left="0" w:right="0" w:firstLine="0"/>
              <w:rPr>
                <w:rFonts w:ascii="Calibri" w:eastAsia="Calibri" w:hAnsi="Calibri" w:cs="Calibri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lang w:eastAsia="en-US"/>
              </w:rPr>
              <w:t>Sprawdzane będzie :</w:t>
            </w:r>
          </w:p>
          <w:p w:rsidR="006C1181" w:rsidRPr="006C1181" w:rsidRDefault="006C1181" w:rsidP="006C1181">
            <w:pPr>
              <w:numPr>
                <w:ilvl w:val="0"/>
                <w:numId w:val="21"/>
              </w:numPr>
              <w:spacing w:after="200" w:line="276" w:lineRule="auto"/>
              <w:ind w:left="423" w:right="0"/>
              <w:contextualSpacing/>
              <w:rPr>
                <w:rFonts w:ascii="Calibri" w:eastAsia="Calibri" w:hAnsi="Calibri" w:cs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szCs w:val="20"/>
                <w:lang w:eastAsia="en-US"/>
              </w:rPr>
              <w:t>czy projekt został przygotowany zgodnie z prawem dotyczącym ochrony środowiska (w brzmieniu obowiązującym na dzień ogłoszenia naboru wniosków o dofinansowanie), w tym:</w:t>
            </w:r>
          </w:p>
          <w:p w:rsidR="006C1181" w:rsidRPr="006C1181" w:rsidRDefault="006C1181" w:rsidP="006C1181">
            <w:pPr>
              <w:numPr>
                <w:ilvl w:val="0"/>
                <w:numId w:val="22"/>
              </w:numPr>
              <w:spacing w:after="0" w:line="240" w:lineRule="auto"/>
              <w:ind w:left="565" w:right="0"/>
              <w:jc w:val="left"/>
              <w:rPr>
                <w:rFonts w:ascii="Calibri" w:eastAsia="Calibri" w:hAnsi="Calibri" w:cs="Calibri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lang w:eastAsia="en-US"/>
              </w:rPr>
              <w:t>ustawą z dnia 3 października 2008 r. o udostępnianiu informacji o środowisku i jego ochronie, udziale społeczeństwa w ochronie środowiska oraz ocenach oddziaływania na środowisko,</w:t>
            </w:r>
          </w:p>
          <w:p w:rsidR="006C1181" w:rsidRPr="006C1181" w:rsidRDefault="006C1181" w:rsidP="006C1181">
            <w:pPr>
              <w:numPr>
                <w:ilvl w:val="0"/>
                <w:numId w:val="22"/>
              </w:numPr>
              <w:spacing w:after="0" w:line="240" w:lineRule="auto"/>
              <w:ind w:left="565" w:right="0"/>
              <w:jc w:val="left"/>
              <w:rPr>
                <w:rFonts w:ascii="Calibri" w:eastAsia="Calibri" w:hAnsi="Calibri" w:cs="Calibri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lang w:eastAsia="en-US"/>
              </w:rPr>
              <w:t>ustawą z dnia 27 kwietnia 2001 r. Prawo ochrony środowiska,</w:t>
            </w:r>
          </w:p>
          <w:p w:rsidR="006C1181" w:rsidRPr="006C1181" w:rsidRDefault="006C1181" w:rsidP="006C1181">
            <w:pPr>
              <w:numPr>
                <w:ilvl w:val="0"/>
                <w:numId w:val="22"/>
              </w:numPr>
              <w:spacing w:after="0" w:line="240" w:lineRule="auto"/>
              <w:ind w:left="565" w:right="0"/>
              <w:jc w:val="left"/>
              <w:rPr>
                <w:rFonts w:ascii="Calibri" w:eastAsia="Calibri" w:hAnsi="Calibri" w:cs="Calibri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lang w:eastAsia="en-US"/>
              </w:rPr>
              <w:t>ustawą z dnia 16 kwietnia 2004 r. o ochronie przyrody,</w:t>
            </w:r>
          </w:p>
          <w:p w:rsidR="006C1181" w:rsidRPr="006C1181" w:rsidRDefault="006C1181" w:rsidP="006C1181">
            <w:pPr>
              <w:numPr>
                <w:ilvl w:val="0"/>
                <w:numId w:val="22"/>
              </w:numPr>
              <w:spacing w:after="0" w:line="240" w:lineRule="auto"/>
              <w:ind w:left="565" w:right="0"/>
              <w:jc w:val="left"/>
              <w:rPr>
                <w:rFonts w:ascii="Calibri" w:eastAsia="Calibri" w:hAnsi="Calibri" w:cs="Calibri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lang w:eastAsia="en-US"/>
              </w:rPr>
              <w:t>ustawą z dnia 18 lipca 2001 r. Prawo wodne</w:t>
            </w:r>
          </w:p>
          <w:p w:rsidR="006C1181" w:rsidRPr="006C1181" w:rsidRDefault="006C1181" w:rsidP="006C1181">
            <w:pPr>
              <w:numPr>
                <w:ilvl w:val="0"/>
                <w:numId w:val="21"/>
              </w:numPr>
              <w:suppressAutoHyphens/>
              <w:spacing w:before="120" w:after="120" w:line="288" w:lineRule="auto"/>
              <w:ind w:left="394" w:right="0"/>
              <w:contextualSpacing/>
              <w:rPr>
                <w:rFonts w:ascii="Calibri" w:eastAsia="Times New Roman" w:hAnsi="Calibri" w:cs="Tahoma"/>
                <w:color w:val="auto"/>
                <w:sz w:val="20"/>
                <w:szCs w:val="18"/>
                <w:lang w:eastAsia="en-US"/>
              </w:rPr>
            </w:pPr>
            <w:r w:rsidRPr="006C1181">
              <w:rPr>
                <w:rFonts w:ascii="Calibri" w:eastAsia="Calibri" w:hAnsi="Calibri" w:cs="Calibri"/>
                <w:color w:val="auto"/>
                <w:sz w:val="20"/>
                <w:szCs w:val="20"/>
                <w:lang w:eastAsia="en-US"/>
              </w:rPr>
              <w:t>czy projekt odnosi się i określa zdolności do reagowania i adaptacji do zmian klimatu (w szczególności w obszarze zagrożenia powodziowego)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 – spełnienie kryterium lub neutralny wpływ projektu na zasadę jest niezbędne do przyznania dofinansowania.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zerojedynkowe.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after="0" w:line="276" w:lineRule="auto"/>
              <w:ind w:left="0" w:right="0" w:firstLine="0"/>
              <w:jc w:val="left"/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x-none"/>
              </w:rPr>
            </w:pPr>
            <w:r w:rsidRPr="006C1181">
              <w:rPr>
                <w:rFonts w:ascii="Calibri" w:eastAsia="Times New Roman" w:hAnsi="Calibri" w:cs="Calibri"/>
                <w:bCs/>
                <w:color w:val="auto"/>
                <w:sz w:val="20"/>
                <w:szCs w:val="20"/>
                <w:lang w:eastAsia="x-none"/>
              </w:rPr>
              <w:t>Neutralny wpływ projektu na zasadę horyzontalną jest spełnieniem kryterium.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strike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Zamówienia publiczne i konkurencyjność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360"/>
              <w:jc w:val="left"/>
              <w:rPr>
                <w:rFonts w:ascii="Calibri" w:eastAsia="Times New Roman" w:hAnsi="Calibri" w:cs="Tahoma"/>
                <w:strike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Weryfikowana będzie zgodność założeń projektu z przepisami ustawy prawo zamówień publicznych</w:t>
            </w: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oraz zasadą konkurencyjności.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 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strike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Pomoc publiczna i pomoc de minimis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0" w:line="276" w:lineRule="auto"/>
              <w:ind w:left="0" w:right="0" w:firstLine="360"/>
              <w:jc w:val="left"/>
              <w:rPr>
                <w:rFonts w:ascii="Calibri" w:eastAsia="Times New Roman" w:hAnsi="Calibri" w:cs="Tahoma"/>
                <w:strike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Weryfikowana będzie zgodność zapisów we wniosku o dofinansowanie projektu z zasadami pomocy publicznej/ pomocy de minimis w odniesieniu do Wnioskodawcy, form wsparcia, wydatków, jak również oceniana będzie możliwość udzielenia w ramach projektu pomocy publicznej/ pomocy de minimis, uwzględniając reguły ogólne jej przyznawania oraz warunki jej dopuszczalności w danym typie projektu.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 xml:space="preserve">Kryterium obligatoryjne </w:t>
            </w:r>
          </w:p>
          <w:p w:rsidR="006C1181" w:rsidRPr="006C1181" w:rsidRDefault="006C1181" w:rsidP="006C1181">
            <w:pPr>
              <w:keepNext/>
              <w:snapToGrid w:val="0"/>
              <w:spacing w:after="0" w:line="276" w:lineRule="auto"/>
              <w:ind w:left="0" w:right="0" w:firstLine="0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Ocena spełniania kryteriów polega na przypisaniu im wartości logicznych „tak” lub „nie” albo stwierdzeniu, że kryterium nie dotyczy danego projektu.</w:t>
            </w:r>
          </w:p>
          <w:p w:rsidR="006C1181" w:rsidRPr="006C1181" w:rsidRDefault="006C1181" w:rsidP="006C1181">
            <w:pPr>
              <w:keepNext/>
              <w:snapToGrid w:val="0"/>
              <w:spacing w:after="0" w:line="276" w:lineRule="auto"/>
              <w:ind w:left="0" w:right="0" w:firstLine="0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iCs/>
                <w:color w:val="auto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</w:rPr>
              <w:t>Wykonalność techniczna</w:t>
            </w: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Weryfikowana będzie wykonalność prawna i techniczna projektu, potrzeba jego realizacji i cele, optymalny wariant, sposób realizacji i stan po realizacji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 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Merge w:val="restar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013" w:type="pct"/>
            <w:vMerge w:val="restar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Trwałość projektu</w:t>
            </w: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Weryfikowane będą następujące aspekty, które muszą być spełnione, aby projekt mógł otrzymać dofinansowanie:</w:t>
            </w:r>
          </w:p>
        </w:tc>
        <w:tc>
          <w:tcPr>
            <w:tcW w:w="1611" w:type="pct"/>
            <w:vMerge w:val="restar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 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 xml:space="preserve"> W przypadku niespełnienia kryterium wnioskodawca zostanie wezwany do poprawienia/uzupełnienia dokumentów we wskazanym terminie.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Merge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13" w:type="pct"/>
            <w:vMerge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36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- Wnioskodawca i/lub partnerzy (jeśli dotyczy) posiada potencjał instytucjonalny do realizacji projektu (posiada lub dostosuje strukturę organizacyjną i procedury zapewniające sprawną realizację projektu).</w:t>
            </w:r>
          </w:p>
        </w:tc>
        <w:tc>
          <w:tcPr>
            <w:tcW w:w="1611" w:type="pct"/>
            <w:vMerge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Merge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13" w:type="pct"/>
            <w:vMerge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120" w:after="120" w:line="276" w:lineRule="auto"/>
              <w:ind w:left="0" w:right="0" w:firstLine="360"/>
              <w:jc w:val="left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- Wnioskodawca i/lub partnerzy (jeśli dotyczy) posiada potencjał kadrowy do realizacji projektu (posiada zespół projektowy lub go stworzy – adekwatny do zakresu zadań w projekcie umożliwiający jego sprawne zarządzanie i realizację).</w:t>
            </w:r>
          </w:p>
        </w:tc>
        <w:tc>
          <w:tcPr>
            <w:tcW w:w="1611" w:type="pct"/>
            <w:vMerge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</w:p>
        </w:tc>
      </w:tr>
      <w:tr w:rsidR="006C1181" w:rsidRPr="006C1181" w:rsidTr="007033BB">
        <w:trPr>
          <w:jc w:val="center"/>
        </w:trPr>
        <w:tc>
          <w:tcPr>
            <w:tcW w:w="87" w:type="pct"/>
            <w:vMerge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13" w:type="pct"/>
            <w:vMerge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- Wnioskodawca i/lub partnerzy (jeśli dotyczy) posiada potencjał finansowy do realizacji projektu (dysponuje środkami na realizację projektu lub ma możliwość ich pozyskania: wskazał źródła finansowania projektu).</w:t>
            </w:r>
          </w:p>
        </w:tc>
        <w:tc>
          <w:tcPr>
            <w:tcW w:w="1611" w:type="pct"/>
            <w:vMerge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</w:p>
        </w:tc>
      </w:tr>
      <w:tr w:rsidR="006C1181" w:rsidRPr="006C1181" w:rsidTr="007033BB">
        <w:trPr>
          <w:trHeight w:val="2587"/>
          <w:jc w:val="center"/>
        </w:trPr>
        <w:tc>
          <w:tcPr>
            <w:tcW w:w="87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013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Wskaźniki</w:t>
            </w:r>
          </w:p>
        </w:tc>
        <w:tc>
          <w:tcPr>
            <w:tcW w:w="2289" w:type="pct"/>
            <w:vAlign w:val="center"/>
          </w:tcPr>
          <w:p w:rsidR="006C1181" w:rsidRPr="006C1181" w:rsidRDefault="006C1181" w:rsidP="006C1181">
            <w:pPr>
              <w:suppressAutoHyphens/>
              <w:spacing w:before="120" w:after="120" w:line="288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Weryfikowana będzie poprawność merytoryczna wskaźników.</w:t>
            </w:r>
          </w:p>
        </w:tc>
        <w:tc>
          <w:tcPr>
            <w:tcW w:w="1611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Kryterium obligatoryjne 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120" w:after="120" w:line="276" w:lineRule="auto"/>
              <w:ind w:left="0" w:right="0" w:firstLine="0"/>
              <w:jc w:val="left"/>
              <w:rPr>
                <w:rFonts w:ascii="Calibri" w:eastAsia="Calibri" w:hAnsi="Calibri" w:cs="Tahoma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Calibri" w:hAnsi="Calibri" w:cs="Tahoma"/>
                <w:color w:val="auto"/>
                <w:sz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</w:tbl>
    <w:p w:rsidR="006C1181" w:rsidRPr="006C1181" w:rsidRDefault="006C1181" w:rsidP="006C1181">
      <w:pPr>
        <w:spacing w:after="0" w:line="240" w:lineRule="auto"/>
        <w:ind w:left="0" w:right="0" w:firstLine="0"/>
        <w:jc w:val="left"/>
        <w:rPr>
          <w:rFonts w:eastAsia="Times New Roman"/>
          <w:color w:val="auto"/>
          <w:lang w:eastAsia="en-US"/>
        </w:rPr>
      </w:pPr>
    </w:p>
    <w:p w:rsidR="006C1181" w:rsidRPr="006C1181" w:rsidRDefault="006C1181" w:rsidP="006C1181">
      <w:pPr>
        <w:spacing w:after="200" w:line="276" w:lineRule="auto"/>
        <w:ind w:left="0" w:right="0" w:firstLine="0"/>
        <w:rPr>
          <w:rFonts w:ascii="Calibri" w:eastAsia="Times New Roman" w:hAnsi="Calibri" w:cs="Times New Roman"/>
          <w:color w:val="auto"/>
          <w:lang w:eastAsia="en-US"/>
        </w:rPr>
      </w:pP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3023"/>
        <w:gridCol w:w="6662"/>
        <w:gridCol w:w="4425"/>
      </w:tblGrid>
      <w:tr w:rsidR="006C1181" w:rsidRPr="006C1181" w:rsidTr="007033BB">
        <w:trPr>
          <w:trHeight w:val="467"/>
          <w:jc w:val="center"/>
        </w:trPr>
        <w:tc>
          <w:tcPr>
            <w:tcW w:w="5000" w:type="pct"/>
            <w:gridSpan w:val="4"/>
            <w:shd w:val="clear" w:color="auto" w:fill="99CC00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b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b/>
                <w:color w:val="auto"/>
                <w:sz w:val="20"/>
                <w:szCs w:val="20"/>
              </w:rPr>
              <w:t>KRYTERIA MERYTORYCZNE SPECYFICZNE (OBLIGATORYJNE)</w:t>
            </w:r>
          </w:p>
        </w:tc>
      </w:tr>
      <w:tr w:rsidR="006C1181" w:rsidRPr="006C1181" w:rsidTr="007033BB">
        <w:trPr>
          <w:trHeight w:val="388"/>
          <w:jc w:val="center"/>
        </w:trPr>
        <w:tc>
          <w:tcPr>
            <w:tcW w:w="169" w:type="pct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1035" w:type="pct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NAZWA KRYTERIUM</w:t>
            </w:r>
          </w:p>
        </w:tc>
        <w:tc>
          <w:tcPr>
            <w:tcW w:w="2281" w:type="pct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DEFINICJA KRYTERIUM</w:t>
            </w:r>
          </w:p>
        </w:tc>
        <w:tc>
          <w:tcPr>
            <w:tcW w:w="1515" w:type="pct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OPIS ZNACZENIA KRYTERIUM</w:t>
            </w:r>
          </w:p>
        </w:tc>
      </w:tr>
      <w:tr w:rsidR="006C1181" w:rsidRPr="006C1181" w:rsidTr="007033BB">
        <w:trPr>
          <w:trHeight w:val="388"/>
          <w:jc w:val="center"/>
        </w:trPr>
        <w:tc>
          <w:tcPr>
            <w:tcW w:w="169" w:type="pct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035" w:type="pct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281" w:type="pct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15" w:type="pct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rPr>
          <w:trHeight w:val="1708"/>
          <w:jc w:val="center"/>
        </w:trPr>
        <w:tc>
          <w:tcPr>
            <w:tcW w:w="169" w:type="pct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35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40" w:after="0" w:line="24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Calibri"/>
                <w:color w:val="auto"/>
                <w:sz w:val="20"/>
                <w:szCs w:val="20"/>
              </w:rPr>
              <w:t xml:space="preserve">Poprawność kosztowa </w:t>
            </w:r>
          </w:p>
        </w:tc>
        <w:tc>
          <w:tcPr>
            <w:tcW w:w="2281" w:type="pct"/>
            <w:vAlign w:val="center"/>
          </w:tcPr>
          <w:p w:rsidR="006C1181" w:rsidRPr="006C1181" w:rsidRDefault="006C1181" w:rsidP="006C1181">
            <w:pPr>
              <w:keepNext/>
              <w:keepLines/>
              <w:suppressAutoHyphens/>
              <w:spacing w:before="40" w:after="0" w:line="240" w:lineRule="auto"/>
              <w:ind w:left="0" w:right="0" w:firstLine="0"/>
              <w:rPr>
                <w:rFonts w:ascii="Calibri" w:eastAsia="Times New Roman" w:hAnsi="Calibri" w:cs="Times New Roman"/>
                <w:bCs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imes New Roman"/>
                <w:bCs/>
                <w:color w:val="auto"/>
                <w:sz w:val="20"/>
                <w:szCs w:val="20"/>
                <w:lang w:eastAsia="en-US"/>
              </w:rPr>
              <w:t xml:space="preserve">W ramach kryterium weryfikowane </w:t>
            </w:r>
            <w:r w:rsidRPr="006C1181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en-US"/>
              </w:rPr>
              <w:t xml:space="preserve">będzie, czy </w:t>
            </w:r>
            <w:r w:rsidRPr="006C1181">
              <w:rPr>
                <w:rFonts w:ascii="Calibri" w:eastAsia="Times New Roman" w:hAnsi="Calibri" w:cs="Times New Roman"/>
                <w:bCs/>
                <w:color w:val="auto"/>
                <w:sz w:val="20"/>
                <w:lang w:eastAsia="en-US"/>
              </w:rPr>
              <w:t>maksymalny koszt całkowity każdego oddzielnego i niezależnie funkcjonującego elementu infrastruktury ubiegającego się o dofinansowanie nie przekracza 5 mln EUR. W sytuacji zintegrowanego przedsięwzięcia składającego się z kilku oddzielnych i niezależnie funkcjonujących elementów infrastruktury, mającego w swojej całości wpływ na rozwój gospodarczy regionu, wskazana wartość progowa może być zastosowana do każdego z elementów infrastruktury osobno i w takim przypadku procedura wyboru zostanie dokonana na poziomie operacji (przedsięwzięcia) zintegrowanej.</w:t>
            </w:r>
          </w:p>
        </w:tc>
        <w:tc>
          <w:tcPr>
            <w:tcW w:w="1515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40" w:after="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 xml:space="preserve">Kryterium obligatoryjne 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40" w:after="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Ocena spełniania kryteriów  polega na przypisaniu im wartości logicznych „tak” lub „nie”.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40" w:after="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rPr>
                <w:rFonts w:ascii="Calibri" w:eastAsia="Times New Roman" w:hAnsi="Calibri" w:cs="Tahoma"/>
                <w:color w:val="FF0000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rPr>
          <w:trHeight w:val="1708"/>
          <w:jc w:val="center"/>
        </w:trPr>
        <w:tc>
          <w:tcPr>
            <w:tcW w:w="169" w:type="pct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40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35" w:type="pct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40" w:after="0" w:line="240" w:lineRule="auto"/>
              <w:ind w:left="0" w:right="0" w:firstLine="0"/>
              <w:jc w:val="left"/>
              <w:rPr>
                <w:rFonts w:ascii="Calibri" w:eastAsia="Times New Roman" w:hAnsi="Calibri" w:cs="Calibri"/>
                <w:color w:val="auto"/>
                <w:sz w:val="20"/>
                <w:szCs w:val="20"/>
              </w:rPr>
            </w:pPr>
            <w:r w:rsidRPr="006C1181">
              <w:rPr>
                <w:rFonts w:ascii="Calibri" w:eastAsia="Calibri" w:hAnsi="Calibri"/>
                <w:color w:val="auto"/>
                <w:sz w:val="20"/>
                <w:szCs w:val="20"/>
              </w:rPr>
              <w:t>Poprawność programu rewitalizacji</w:t>
            </w:r>
          </w:p>
        </w:tc>
        <w:tc>
          <w:tcPr>
            <w:tcW w:w="2281" w:type="pct"/>
            <w:vAlign w:val="center"/>
          </w:tcPr>
          <w:p w:rsidR="006C1181" w:rsidRPr="006C1181" w:rsidRDefault="006C1181" w:rsidP="006C1181">
            <w:pPr>
              <w:keepNext/>
              <w:keepLines/>
              <w:spacing w:before="40" w:after="6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W przypadku projektów wynikających z Programu rewitalizacji CITTASLOW weryfikowane będzie czy program rewitalizacji, z którego wynika zgłoszony projekt, znajduje się w Wykazie pozytywnie zweryfikowanych programów rewitalizacji prowadzonym przez Instytucje Zarządzającą RPO WiM.</w:t>
            </w:r>
          </w:p>
          <w:p w:rsidR="006C1181" w:rsidRPr="006C1181" w:rsidRDefault="006C1181" w:rsidP="006C1181">
            <w:pPr>
              <w:keepNext/>
              <w:keepLines/>
              <w:spacing w:before="40" w:after="60" w:line="240" w:lineRule="auto"/>
              <w:ind w:left="0" w:right="0" w:firstLine="0"/>
              <w:rPr>
                <w:rFonts w:ascii="Calibri" w:eastAsia="Calibri" w:hAnsi="Calibri"/>
                <w:bCs/>
                <w:i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 xml:space="preserve">Aby program rewitalizacji znalazł się na takiej liście Instytucja Zarządzająca RPO WiM musi przeprowadzić pozytywną weryfikację spełnienia wymogów dotyczących cech i elementów takich programów określonych w </w:t>
            </w:r>
            <w:r w:rsidRPr="006C1181">
              <w:rPr>
                <w:rFonts w:ascii="Calibri" w:eastAsia="Calibri" w:hAnsi="Calibri"/>
                <w:bCs/>
                <w:i/>
                <w:color w:val="auto"/>
                <w:sz w:val="20"/>
                <w:szCs w:val="20"/>
                <w:lang w:eastAsia="en-US"/>
              </w:rPr>
              <w:t>Wytycznych w zakresie rewitalizacji w programach operacyjnych na lata 2014-2020</w:t>
            </w: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.</w:t>
            </w:r>
          </w:p>
          <w:p w:rsidR="006C1181" w:rsidRPr="006C1181" w:rsidRDefault="006C1181" w:rsidP="006C1181">
            <w:pPr>
              <w:keepNext/>
              <w:keepLines/>
              <w:spacing w:before="40" w:after="6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Kryterium będzie weryfikowane w oparciu o listę sprawdzającą w zakresie spójności i poprawności sporządzenia programu rewitalizacji prowadzoną przez Instytucję Zarządzającą RPO WiM, stanowiącą załącznik do regulaminu naboru.</w:t>
            </w:r>
          </w:p>
          <w:p w:rsidR="006C1181" w:rsidRPr="006C1181" w:rsidRDefault="006C1181" w:rsidP="006C1181">
            <w:pPr>
              <w:keepNext/>
              <w:keepLines/>
              <w:suppressAutoHyphens/>
              <w:spacing w:before="40" w:after="0" w:line="240" w:lineRule="auto"/>
              <w:ind w:left="0" w:right="0" w:firstLine="0"/>
              <w:rPr>
                <w:rFonts w:ascii="Calibri" w:eastAsia="Times New Roman" w:hAnsi="Calibri" w:cs="Times New Roman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color w:val="auto"/>
                <w:sz w:val="20"/>
                <w:szCs w:val="20"/>
                <w:lang w:eastAsia="en-US"/>
              </w:rPr>
              <w:t xml:space="preserve">W przypadku, gdy program rewitalizacji nie znajduje się w wykazie pozytywnie zweryfikowanych programów rewitalizacji, weryfikowane jest czy spełnia on wymogi dotyczące cech i elementów programu rewitalizacji określonych w </w:t>
            </w:r>
            <w:r w:rsidRPr="006C1181">
              <w:rPr>
                <w:rFonts w:ascii="Calibri" w:eastAsia="Calibri" w:hAnsi="Calibri"/>
                <w:bCs/>
                <w:i/>
                <w:color w:val="auto"/>
                <w:sz w:val="20"/>
                <w:szCs w:val="20"/>
                <w:lang w:eastAsia="en-US"/>
              </w:rPr>
              <w:t>Wytycznych Ministra Rozwoju w zakresie rewitalizacji w programach operacyjnych na lata 2014-2020.</w:t>
            </w:r>
          </w:p>
        </w:tc>
        <w:tc>
          <w:tcPr>
            <w:tcW w:w="1515" w:type="pct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40" w:after="4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Kryterium obligatoryjne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40" w:after="4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Ocena spełniania kryteriów polega na przypisaniu im wartości logicznych „tak” lub „nie” albo „nie dotyczy”.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napToGrid w:val="0"/>
              <w:spacing w:before="40" w:after="0" w:line="240" w:lineRule="auto"/>
              <w:ind w:left="0" w:right="0" w:firstLine="0"/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Calibri" w:hAnsi="Calibri"/>
                <w:bCs/>
                <w:color w:val="auto"/>
                <w:sz w:val="20"/>
                <w:szCs w:val="20"/>
                <w:lang w:eastAsia="en-US"/>
              </w:rPr>
              <w:t>W przypadku niespełnienia kryterium wnioskodawca zostanie wezwany do poprawienia/uzupełnienia dokumentów we wskazanym terminie.</w:t>
            </w:r>
          </w:p>
        </w:tc>
      </w:tr>
    </w:tbl>
    <w:p w:rsidR="006C1181" w:rsidRPr="006C1181" w:rsidRDefault="006C1181" w:rsidP="006C1181">
      <w:pPr>
        <w:autoSpaceDE w:val="0"/>
        <w:autoSpaceDN w:val="0"/>
        <w:adjustRightInd w:val="0"/>
        <w:spacing w:before="40" w:after="0" w:line="240" w:lineRule="auto"/>
        <w:ind w:left="0" w:right="0" w:firstLine="0"/>
        <w:jc w:val="left"/>
        <w:rPr>
          <w:rFonts w:ascii="Calibri" w:eastAsia="Times New Roman" w:hAnsi="Calibri" w:cs="Calibri"/>
          <w:i/>
          <w:iCs/>
          <w:sz w:val="20"/>
          <w:szCs w:val="20"/>
        </w:rPr>
      </w:pPr>
    </w:p>
    <w:p w:rsidR="006C1181" w:rsidRPr="006C1181" w:rsidRDefault="006C1181" w:rsidP="006C1181">
      <w:pPr>
        <w:spacing w:after="200" w:line="276" w:lineRule="auto"/>
        <w:ind w:left="0" w:right="0" w:firstLine="0"/>
        <w:rPr>
          <w:rFonts w:ascii="Calibri" w:eastAsia="Times New Roman" w:hAnsi="Calibri" w:cs="Times New Roman"/>
          <w:color w:val="auto"/>
          <w:lang w:eastAsia="en-US"/>
        </w:rPr>
      </w:pPr>
    </w:p>
    <w:tbl>
      <w:tblPr>
        <w:tblW w:w="13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2943"/>
        <w:gridCol w:w="6021"/>
        <w:gridCol w:w="4354"/>
      </w:tblGrid>
      <w:tr w:rsidR="006C1181" w:rsidRPr="006C1181" w:rsidTr="007033BB">
        <w:trPr>
          <w:trHeight w:val="59"/>
          <w:jc w:val="center"/>
        </w:trPr>
        <w:tc>
          <w:tcPr>
            <w:tcW w:w="13779" w:type="dxa"/>
            <w:gridSpan w:val="4"/>
            <w:shd w:val="clear" w:color="auto" w:fill="99CC00"/>
            <w:vAlign w:val="center"/>
          </w:tcPr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/>
                <w:b/>
                <w:color w:val="auto"/>
                <w:sz w:val="20"/>
                <w:szCs w:val="20"/>
              </w:rPr>
              <w:t>KRYTERIA MERYTORYCZNE (PUNKTOWE)</w:t>
            </w:r>
          </w:p>
          <w:p w:rsidR="006C1181" w:rsidRPr="006C1181" w:rsidRDefault="006C1181" w:rsidP="006C1181">
            <w:pPr>
              <w:keepNext/>
              <w:tabs>
                <w:tab w:val="left" w:pos="435"/>
              </w:tabs>
              <w:suppressAutoHyphens/>
              <w:snapToGrid w:val="0"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b/>
                <w:color w:val="auto"/>
                <w:sz w:val="20"/>
                <w:szCs w:val="20"/>
              </w:rPr>
              <w:t>(wymagane minimum 50%)</w:t>
            </w:r>
          </w:p>
        </w:tc>
      </w:tr>
      <w:tr w:rsidR="006C1181" w:rsidRPr="006C1181" w:rsidTr="007033BB">
        <w:trPr>
          <w:trHeight w:val="366"/>
          <w:jc w:val="center"/>
        </w:trPr>
        <w:tc>
          <w:tcPr>
            <w:tcW w:w="461" w:type="dxa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2943" w:type="dxa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NAZWA KRYTERIUM</w:t>
            </w:r>
          </w:p>
        </w:tc>
        <w:tc>
          <w:tcPr>
            <w:tcW w:w="6021" w:type="dxa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 xml:space="preserve">DEFINICJA KRYTERIUM </w:t>
            </w:r>
          </w:p>
        </w:tc>
        <w:tc>
          <w:tcPr>
            <w:tcW w:w="4354" w:type="dxa"/>
            <w:vMerge w:val="restart"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</w:rPr>
              <w:t>OPIS ZNACZENIA KRYTERIUM</w:t>
            </w:r>
          </w:p>
        </w:tc>
      </w:tr>
      <w:tr w:rsidR="006C1181" w:rsidRPr="006C1181" w:rsidTr="007033BB">
        <w:trPr>
          <w:trHeight w:val="364"/>
          <w:jc w:val="center"/>
        </w:trPr>
        <w:tc>
          <w:tcPr>
            <w:tcW w:w="461" w:type="dxa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43" w:type="dxa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21" w:type="dxa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354" w:type="dxa"/>
            <w:vMerge/>
            <w:shd w:val="clear" w:color="auto" w:fill="99CC00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rPr>
          <w:trHeight w:val="3826"/>
          <w:jc w:val="center"/>
        </w:trPr>
        <w:tc>
          <w:tcPr>
            <w:tcW w:w="461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943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>Analiza popytu</w:t>
            </w:r>
          </w:p>
        </w:tc>
        <w:tc>
          <w:tcPr>
            <w:tcW w:w="6021" w:type="dxa"/>
            <w:vAlign w:val="center"/>
          </w:tcPr>
          <w:p w:rsidR="006C1181" w:rsidRPr="006C1181" w:rsidRDefault="006C1181" w:rsidP="006C1181">
            <w:pPr>
              <w:suppressAutoHyphens/>
              <w:spacing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>Ocenie będzie podlegać prognozowany wzrost popytu na usługi produkowane przez zrealizowany projekt, liczony jako procentowy wzrost liczby odwiedzających wspartą infrastrukturę</w:t>
            </w:r>
            <w:r w:rsidRPr="006C1181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>w ciągu roku od zakończenia realizacji projektu w stosunku do ostatniego roku przed realizacją projektu. Analiza popytu została przeprowadzona w sposób poprawny i jest wiarygodna (została wykonana na bazie wiarygodnych źródeł szacowanej liczby dodatkowych odwiedzających – poparta jest wynikami badań własnych, zleconych lub ogólnie dostępnych):</w:t>
            </w:r>
          </w:p>
          <w:p w:rsidR="006C1181" w:rsidRPr="006C1181" w:rsidRDefault="006C1181" w:rsidP="006C1181">
            <w:pPr>
              <w:numPr>
                <w:ilvl w:val="0"/>
                <w:numId w:val="19"/>
              </w:numPr>
              <w:suppressAutoHyphens/>
              <w:spacing w:before="120" w:after="0" w:line="288" w:lineRule="auto"/>
              <w:ind w:right="0"/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>brak wzrostu  – 0 pkt;</w:t>
            </w:r>
          </w:p>
          <w:p w:rsidR="006C1181" w:rsidRPr="006C1181" w:rsidRDefault="006C1181" w:rsidP="006C1181">
            <w:pPr>
              <w:numPr>
                <w:ilvl w:val="0"/>
                <w:numId w:val="19"/>
              </w:numPr>
              <w:suppressAutoHyphens/>
              <w:spacing w:before="120" w:after="0" w:line="288" w:lineRule="auto"/>
              <w:ind w:right="0"/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>wzrost do 5% włącznie - 4 pkt</w:t>
            </w:r>
          </w:p>
          <w:p w:rsidR="006C1181" w:rsidRPr="006C1181" w:rsidRDefault="006C1181" w:rsidP="006C1181">
            <w:pPr>
              <w:numPr>
                <w:ilvl w:val="0"/>
                <w:numId w:val="19"/>
              </w:numPr>
              <w:suppressAutoHyphens/>
              <w:spacing w:before="120" w:after="0" w:line="288" w:lineRule="auto"/>
              <w:ind w:right="0"/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>wzrost powyżej 5% do 10% włącznie - 8 pkt</w:t>
            </w:r>
          </w:p>
          <w:p w:rsidR="006C1181" w:rsidRPr="006C1181" w:rsidRDefault="006C1181" w:rsidP="006C1181">
            <w:pPr>
              <w:numPr>
                <w:ilvl w:val="0"/>
                <w:numId w:val="19"/>
              </w:numPr>
              <w:suppressAutoHyphens/>
              <w:spacing w:before="120" w:after="0" w:line="288" w:lineRule="auto"/>
              <w:ind w:right="0"/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>wzrost powyżej 10% – 12 pkt;</w:t>
            </w:r>
          </w:p>
        </w:tc>
        <w:tc>
          <w:tcPr>
            <w:tcW w:w="4354" w:type="dxa"/>
            <w:vAlign w:val="center"/>
          </w:tcPr>
          <w:p w:rsidR="006C1181" w:rsidRPr="006C1181" w:rsidRDefault="006C1181" w:rsidP="006C1181">
            <w:pPr>
              <w:keepNext/>
              <w:suppressAutoHyphens/>
              <w:autoSpaceDE w:val="0"/>
              <w:autoSpaceDN w:val="0"/>
              <w:spacing w:before="120" w:after="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Kryterium punktowe – przyznanie 0 punktów nie dyskwalifikuje z możliwości uzyskania dofinansowania.</w:t>
            </w:r>
          </w:p>
          <w:p w:rsidR="006C1181" w:rsidRPr="006C1181" w:rsidRDefault="006C1181" w:rsidP="006C1181">
            <w:pPr>
              <w:suppressAutoHyphens/>
              <w:spacing w:after="0" w:line="276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18"/>
                <w:szCs w:val="18"/>
                <w:lang w:eastAsia="en-US"/>
              </w:rPr>
            </w:pPr>
          </w:p>
          <w:p w:rsidR="006C1181" w:rsidRPr="006C1181" w:rsidRDefault="006C1181" w:rsidP="006C1181">
            <w:pPr>
              <w:suppressAutoHyphens/>
              <w:spacing w:after="0" w:line="276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Za spełnienie tego kryterium projekt może otrzymać od 0 do 12 pkt (maksymalnie)</w:t>
            </w:r>
          </w:p>
          <w:p w:rsidR="006C1181" w:rsidRPr="006C1181" w:rsidRDefault="006C1181" w:rsidP="006C1181">
            <w:pPr>
              <w:suppressAutoHyphens/>
              <w:spacing w:after="0" w:line="276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18"/>
                <w:szCs w:val="18"/>
                <w:lang w:eastAsia="en-US"/>
              </w:rPr>
            </w:pPr>
          </w:p>
          <w:p w:rsidR="006C1181" w:rsidRPr="006C1181" w:rsidRDefault="006C1181" w:rsidP="006C1181">
            <w:pPr>
              <w:keepNext/>
              <w:suppressAutoHyphens/>
              <w:autoSpaceDE w:val="0"/>
              <w:autoSpaceDN w:val="0"/>
              <w:spacing w:before="40" w:after="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rPr>
          <w:trHeight w:val="1550"/>
          <w:jc w:val="center"/>
        </w:trPr>
        <w:tc>
          <w:tcPr>
            <w:tcW w:w="461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943" w:type="dxa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C1181">
              <w:rPr>
                <w:rFonts w:ascii="Calibri" w:eastAsia="Times New Roman" w:hAnsi="Calibri" w:cs="Calibri"/>
                <w:sz w:val="20"/>
                <w:szCs w:val="20"/>
              </w:rPr>
              <w:t xml:space="preserve">Wpływ projektu 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C1181">
              <w:rPr>
                <w:rFonts w:ascii="Calibri" w:eastAsia="Times New Roman" w:hAnsi="Calibri" w:cs="Calibri"/>
                <w:sz w:val="20"/>
                <w:szCs w:val="20"/>
              </w:rPr>
              <w:t xml:space="preserve">na rozwój oferty 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C1181">
              <w:rPr>
                <w:rFonts w:ascii="Calibri" w:eastAsia="Times New Roman" w:hAnsi="Calibri" w:cs="Calibri"/>
                <w:sz w:val="20"/>
                <w:szCs w:val="20"/>
              </w:rPr>
              <w:t>turystycznej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60" w:line="276" w:lineRule="auto"/>
              <w:ind w:left="0" w:right="0" w:firstLine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C1181">
              <w:rPr>
                <w:rFonts w:ascii="Calibri" w:eastAsia="Times New Roman" w:hAnsi="Calibri" w:cs="Calibri"/>
                <w:sz w:val="20"/>
                <w:szCs w:val="20"/>
              </w:rPr>
              <w:t>Kryterium służy preferowaniu przedsięwzięć ze  względu  na przewidywany  wpływ efektów danego projektu na rozwój oferty turystycznej w regionie.</w:t>
            </w:r>
          </w:p>
          <w:p w:rsidR="006C1181" w:rsidRPr="006C1181" w:rsidRDefault="006C1181" w:rsidP="006C1181">
            <w:pPr>
              <w:suppressAutoHyphens/>
              <w:spacing w:after="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Punkty będą przyznawane za spełnienie następujących warunków:</w:t>
            </w:r>
          </w:p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u w:val="single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u w:val="single"/>
                <w:lang w:eastAsia="en-US"/>
              </w:rPr>
              <w:t xml:space="preserve">1. Wykorzystanie zasobów naturalnych regionu: </w:t>
            </w:r>
          </w:p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 xml:space="preserve">5  pkt – Wnioskodawca  w  sposób  wiarygodny  i  rzetelny  wykazał,  że realizacja  projektu  przyczyni  się  do  rozwijania  lub  dywersyfikacji  oferty turystycznej opartej na zasobach naturalnych regionu, </w:t>
            </w: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>np. posiada porozumienia z innymi podmiotami pozwalające zaoferować mu kompleksowe i komplementarne usługi, z których będą mogli korzystać użytkownicy wspartej infrastruktury (np. aktywnego wypoczynku, powiązanie z ofertami kulturalnymi, produktami turystycznymi itp.),</w:t>
            </w:r>
          </w:p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0  pkt –w  przypadku  stwierdzenia,  że  projekt  nie  spełnia  powyższego warunku;</w:t>
            </w:r>
          </w:p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u w:val="single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u w:val="single"/>
                <w:lang w:eastAsia="en-US"/>
              </w:rPr>
              <w:t xml:space="preserve">2. Zdolność do funkcjonowania oferty turystycznej w ciągu roku: </w:t>
            </w:r>
          </w:p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 xml:space="preserve">5 pkt – Wnioskodawca w sposób wiarygodny i rzetelny wykazał, że oferta  turystyczna  udostępniana  w ramach  projektu  będzie  dostępna  dla potencjalnych  odbiorców  niezależnie  od  warunków  pogodowych,  przez okres co najmniej 5 miesięcy w ciągu roku, </w:t>
            </w:r>
          </w:p>
          <w:p w:rsidR="006C1181" w:rsidRPr="006C1181" w:rsidRDefault="006C1181" w:rsidP="006C1181">
            <w:pPr>
              <w:suppressAutoHyphens/>
              <w:spacing w:before="120" w:after="12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0  pkt –w  przypadku  stwierdzenia,  że  projekt  nie  spełnia  powyższego warunku;</w:t>
            </w:r>
          </w:p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u w:val="single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Punkty w ramach kryterium podlegają sumowaniu.</w:t>
            </w:r>
          </w:p>
        </w:tc>
        <w:tc>
          <w:tcPr>
            <w:tcW w:w="4354" w:type="dxa"/>
            <w:vAlign w:val="center"/>
          </w:tcPr>
          <w:p w:rsidR="006C1181" w:rsidRPr="006C1181" w:rsidRDefault="006C1181" w:rsidP="006C1181">
            <w:pPr>
              <w:keepNext/>
              <w:suppressAutoHyphens/>
              <w:autoSpaceDE w:val="0"/>
              <w:autoSpaceDN w:val="0"/>
              <w:spacing w:before="120" w:after="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Kryterium punktowe – przyznanie 0 punktów nie dyskwalifikuje z możliwości uzyskania dofinansowania.</w:t>
            </w:r>
          </w:p>
          <w:p w:rsidR="006C1181" w:rsidRPr="006C1181" w:rsidRDefault="006C1181" w:rsidP="006C1181">
            <w:pPr>
              <w:suppressAutoHyphens/>
              <w:spacing w:after="0" w:line="276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18"/>
                <w:szCs w:val="18"/>
                <w:lang w:eastAsia="en-US"/>
              </w:rPr>
            </w:pPr>
          </w:p>
          <w:p w:rsidR="006C1181" w:rsidRPr="006C1181" w:rsidRDefault="006C1181" w:rsidP="006C1181">
            <w:pPr>
              <w:suppressAutoHyphens/>
              <w:spacing w:after="0" w:line="276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Za spełnienie tego kryterium projekt może otrzymać od 0 do 10 pkt (maksymalnie)</w:t>
            </w:r>
          </w:p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rPr>
          <w:trHeight w:val="283"/>
          <w:jc w:val="center"/>
        </w:trPr>
        <w:tc>
          <w:tcPr>
            <w:tcW w:w="461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943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Wpływ na bezpieczeństwo użytkowników, jakość użytkowania, oszczędność zasobów oraz skomunikowanie ze szlakami komunikacyjnymi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C1181">
              <w:rPr>
                <w:rFonts w:ascii="Calibri" w:eastAsia="Times New Roman" w:hAnsi="Calibri" w:cs="Calibri"/>
                <w:sz w:val="20"/>
                <w:szCs w:val="20"/>
              </w:rPr>
              <w:t>W ramach kryterium weryfikowane będzie zaplanowanie w projekcie działań zwiększających bezpieczeństwo użytkowników,  także rozwiązania wpływające na poprawę jakości: wszelkie ułatwienia / udogodnienia dla użytkowników, itp.</w:t>
            </w:r>
          </w:p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W ramach kryterium można przyznać następujące punkty:</w:t>
            </w:r>
          </w:p>
          <w:p w:rsidR="006C1181" w:rsidRPr="006C1181" w:rsidRDefault="006C1181" w:rsidP="006C1181">
            <w:pPr>
              <w:tabs>
                <w:tab w:val="left" w:pos="655"/>
              </w:tabs>
              <w:suppressAutoHyphens/>
              <w:spacing w:before="40" w:after="0" w:line="276" w:lineRule="auto"/>
              <w:ind w:left="655" w:right="0" w:hanging="655"/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2 pkt</w:t>
            </w:r>
            <w:r w:rsidRPr="006C1181">
              <w:rPr>
                <w:rFonts w:ascii="Calibri" w:eastAsia="Times New Roman" w:hAnsi="Calibri" w:cs="Tahoma"/>
                <w:color w:val="auto"/>
                <w:sz w:val="20"/>
                <w:lang w:eastAsia="en-US"/>
              </w:rPr>
              <w:t xml:space="preserve"> –</w:t>
            </w: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ab/>
              <w:t xml:space="preserve">projekt wpisuje się lub wykorzystuje Destination Management System (systemu zarządzania turystyką) jako skuteczny </w:t>
            </w: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>system dystrybucji, w celu umożliwienia sektorowi turystycznemu dotarcia z produktem do rynku oraz ułatwienia procesu rezerwacji różnych form wypoczynku za pośrednictwem Internetu</w:t>
            </w:r>
          </w:p>
          <w:p w:rsidR="006C1181" w:rsidRPr="006C1181" w:rsidRDefault="006C1181" w:rsidP="006C1181">
            <w:pPr>
              <w:tabs>
                <w:tab w:val="left" w:pos="655"/>
              </w:tabs>
              <w:suppressAutoHyphens/>
              <w:spacing w:before="40" w:after="0" w:line="276" w:lineRule="auto"/>
              <w:ind w:left="655" w:right="0" w:hanging="655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>2 pkt</w:t>
            </w:r>
            <w:r w:rsidRPr="006C1181">
              <w:rPr>
                <w:rFonts w:ascii="Calibri" w:eastAsia="Times New Roman" w:hAnsi="Calibri" w:cs="Tahoma"/>
                <w:sz w:val="20"/>
                <w:lang w:eastAsia="en-US"/>
              </w:rPr>
              <w:t xml:space="preserve"> –</w:t>
            </w: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ab/>
              <w:t xml:space="preserve">Projekt obejmuje skomunikowanie wspartej infrastruktury </w:t>
            </w:r>
            <w:r w:rsidRPr="006C1181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ze szlakami turystycznymi </w:t>
            </w: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 xml:space="preserve">lub </w:t>
            </w:r>
            <w:r w:rsidRPr="006C1181">
              <w:rPr>
                <w:rFonts w:ascii="Calibri" w:eastAsia="Times New Roman" w:hAnsi="Calibri" w:cs="Times New Roman"/>
                <w:sz w:val="20"/>
                <w:lang w:eastAsia="en-US"/>
              </w:rPr>
              <w:t>ciągami pieszymi lub ciągami komunikacyjnymi umożliwiającymi dostęp m.in. służbom ratunkowym lub obsłudze technicznej</w:t>
            </w:r>
          </w:p>
          <w:p w:rsidR="006C1181" w:rsidRPr="006C1181" w:rsidRDefault="006C1181" w:rsidP="006C1181">
            <w:pPr>
              <w:tabs>
                <w:tab w:val="left" w:pos="655"/>
              </w:tabs>
              <w:suppressAutoHyphens/>
              <w:spacing w:before="40" w:after="0" w:line="276" w:lineRule="auto"/>
              <w:ind w:left="655" w:right="0" w:hanging="655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>1 pkt</w:t>
            </w:r>
            <w:r w:rsidRPr="006C1181">
              <w:rPr>
                <w:rFonts w:ascii="Calibri" w:eastAsia="Times New Roman" w:hAnsi="Calibri" w:cs="Tahoma"/>
                <w:sz w:val="20"/>
                <w:lang w:eastAsia="en-US"/>
              </w:rPr>
              <w:t xml:space="preserve"> –</w:t>
            </w:r>
            <w:r w:rsidRPr="006C1181">
              <w:rPr>
                <w:rFonts w:ascii="Calibri" w:eastAsia="Times New Roman" w:hAnsi="Calibri" w:cs="Tahoma"/>
                <w:sz w:val="20"/>
                <w:szCs w:val="20"/>
                <w:lang w:eastAsia="en-US"/>
              </w:rPr>
              <w:tab/>
              <w:t>Projekt obejmuje odpowiednie (przyjazne dla użytkowników) zagospodaro</w:t>
            </w: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wanie terenu wokół obiektów turystycznych i okołoturystycznych (m.in. budowa miejsc parkingowych)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Punkty w ramach kryterium podlegają sumowaniu.</w:t>
            </w:r>
            <w:r w:rsidRPr="006C1181">
              <w:rPr>
                <w:rFonts w:ascii="Calibri" w:eastAsia="Times New Roman" w:hAnsi="Calibri" w:cs="Times New Roman"/>
                <w:color w:val="auto"/>
                <w:sz w:val="20"/>
                <w:lang w:eastAsia="en-US"/>
              </w:rPr>
              <w:t xml:space="preserve"> Projekt uzyskuje 0 pkt, jeżeli nie spełnia żadnego warunku.</w:t>
            </w:r>
          </w:p>
        </w:tc>
        <w:tc>
          <w:tcPr>
            <w:tcW w:w="4354" w:type="dxa"/>
            <w:vAlign w:val="center"/>
          </w:tcPr>
          <w:p w:rsidR="006C1181" w:rsidRPr="006C1181" w:rsidRDefault="006C1181" w:rsidP="006C1181">
            <w:pPr>
              <w:keepNext/>
              <w:suppressAutoHyphens/>
              <w:autoSpaceDE w:val="0"/>
              <w:autoSpaceDN w:val="0"/>
              <w:spacing w:before="40" w:after="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Kryterium punktowe – przyznanie 0 punktów nie dyskwalifikuje z możliwości uzyskania dofinansowania.</w:t>
            </w:r>
          </w:p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 xml:space="preserve">Za spełnienie tego kryterium projekt może otrzymać od 0 do </w:t>
            </w: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>5</w:t>
            </w: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 xml:space="preserve"> pkt (maksymalnie). </w:t>
            </w:r>
          </w:p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rPr>
          <w:trHeight w:val="1550"/>
          <w:jc w:val="center"/>
        </w:trPr>
        <w:tc>
          <w:tcPr>
            <w:tcW w:w="461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943" w:type="dxa"/>
            <w:vAlign w:val="center"/>
          </w:tcPr>
          <w:p w:rsidR="006C1181" w:rsidRPr="006C1181" w:rsidRDefault="006C1181" w:rsidP="006C1181">
            <w:pPr>
              <w:suppressAutoHyphens/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6C1181">
              <w:rPr>
                <w:rFonts w:ascii="Calibri" w:eastAsia="Times New Roman" w:hAnsi="Calibri" w:cs="Calibri"/>
                <w:sz w:val="20"/>
                <w:szCs w:val="20"/>
              </w:rPr>
              <w:t>Poziom wkładu własnego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6021" w:type="dxa"/>
            <w:shd w:val="clear" w:color="auto" w:fill="auto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spacing w:after="0" w:line="276" w:lineRule="auto"/>
              <w:ind w:left="0" w:right="0" w:firstLine="0"/>
              <w:jc w:val="left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6C1181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Ocenie podlega zadeklarowany przez Wnioskodawcę poziom wkładu własnego wg następującej punktacji</w:t>
            </w:r>
          </w:p>
          <w:p w:rsidR="006C1181" w:rsidRPr="006C1181" w:rsidRDefault="006C1181" w:rsidP="006C118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spacing w:before="120" w:after="0" w:line="288" w:lineRule="auto"/>
              <w:ind w:left="223" w:right="0" w:hanging="223"/>
              <w:jc w:val="left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6C1181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pow. 0 do 2 pkt proc. powyżej minimalnego poziomu wkładu własnego – 3 pkt</w:t>
            </w:r>
          </w:p>
          <w:p w:rsidR="006C1181" w:rsidRPr="006C1181" w:rsidRDefault="006C1181" w:rsidP="006C118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spacing w:before="120" w:after="0" w:line="288" w:lineRule="auto"/>
              <w:ind w:left="223" w:right="0" w:hanging="223"/>
              <w:jc w:val="left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6C1181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pow. 2 do 4 pkt proc. powyżej minimalnego poziomu wkładu własnego – 4 pkt</w:t>
            </w:r>
          </w:p>
          <w:p w:rsidR="006C1181" w:rsidRPr="006C1181" w:rsidRDefault="006C1181" w:rsidP="006C1181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spacing w:before="120" w:after="0" w:line="288" w:lineRule="auto"/>
              <w:ind w:left="223" w:right="0" w:hanging="223"/>
              <w:jc w:val="left"/>
              <w:rPr>
                <w:rFonts w:ascii="Calibri" w:eastAsia="Calibri" w:hAnsi="Calibri" w:cs="Times New Roman"/>
                <w:color w:val="auto"/>
                <w:sz w:val="20"/>
                <w:szCs w:val="20"/>
              </w:rPr>
            </w:pPr>
            <w:r w:rsidRPr="006C1181">
              <w:rPr>
                <w:rFonts w:ascii="Calibri" w:eastAsia="Calibri" w:hAnsi="Calibri" w:cs="Times New Roman"/>
                <w:color w:val="auto"/>
                <w:sz w:val="20"/>
                <w:szCs w:val="20"/>
              </w:rPr>
              <w:t>pow. 4 pkt proc.  powyżej minimalnego poziomu wkładu własnego – 5 pkt</w:t>
            </w:r>
          </w:p>
        </w:tc>
        <w:tc>
          <w:tcPr>
            <w:tcW w:w="4354" w:type="dxa"/>
            <w:vAlign w:val="center"/>
          </w:tcPr>
          <w:p w:rsidR="006C1181" w:rsidRPr="006C1181" w:rsidRDefault="006C1181" w:rsidP="006C1181">
            <w:pPr>
              <w:keepNext/>
              <w:suppressAutoHyphens/>
              <w:autoSpaceDE w:val="0"/>
              <w:autoSpaceDN w:val="0"/>
              <w:spacing w:before="120" w:after="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Kryterium punktowe – przyznanie 0 punktów nie dyskwalifikuje z możliwości uzyskania dofinansowania.</w:t>
            </w:r>
          </w:p>
          <w:p w:rsidR="006C1181" w:rsidRPr="006C1181" w:rsidRDefault="006C1181" w:rsidP="006C1181">
            <w:pPr>
              <w:suppressAutoHyphens/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18"/>
                <w:szCs w:val="18"/>
                <w:lang w:eastAsia="en-US"/>
              </w:rPr>
            </w:pPr>
          </w:p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Za spełnienie tego kryterium projekt może otrzymać od 0 do 5 pkt (maksymalnie)</w:t>
            </w:r>
          </w:p>
        </w:tc>
      </w:tr>
      <w:tr w:rsidR="006C1181" w:rsidRPr="006C1181" w:rsidTr="007033BB">
        <w:trPr>
          <w:trHeight w:val="835"/>
          <w:jc w:val="center"/>
        </w:trPr>
        <w:tc>
          <w:tcPr>
            <w:tcW w:w="461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943" w:type="dxa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>Gotowość projektu do realizacji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200" w:line="240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>Kryterium punktuje projekty gotowe do realizacji, tj.: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200" w:line="240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>0 pkt – gdy brak gotowości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200" w:line="240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 xml:space="preserve">2 pkt – gdy projekt posiada pozwolenia / zgłoszenia na budowę 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200" w:line="240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>3 pkt – gdy projekt ma ogłoszone postępowania przetargowe / upublicznione zaproszenie do składania ofert (w trybie konkurencyjnym)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200" w:line="240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 xml:space="preserve">4 pkt – gdy projekt ma wybranego wykonawcę robót budowlanych i jest gotowy do realizacji, lub nie wymaga żadnych pozwoleń i jest gotowy do realizacji 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>Punkty w ramach kryterium nie sumują się.</w:t>
            </w:r>
          </w:p>
        </w:tc>
        <w:tc>
          <w:tcPr>
            <w:tcW w:w="4354" w:type="dxa"/>
            <w:vAlign w:val="center"/>
          </w:tcPr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200" w:line="240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 xml:space="preserve">Kryterium punktowe – przyznanie 0 punktów nie dyskwalifikuje z możliwości uzyskania dofinansowania. 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after="200" w:line="240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 xml:space="preserve">Za spełnienie tego kryterium projekt może otrzymać </w:t>
            </w: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 xml:space="preserve">od 0 do 4 punktów </w:t>
            </w:r>
            <w:r w:rsidRPr="006C1181">
              <w:rPr>
                <w:rFonts w:ascii="Calibri" w:eastAsia="Times New Roman" w:hAnsi="Calibri" w:cs="Times New Roman"/>
                <w:color w:val="auto"/>
                <w:sz w:val="20"/>
                <w:szCs w:val="20"/>
                <w:lang w:eastAsia="en-US"/>
              </w:rPr>
              <w:t>(maksymalnie)</w:t>
            </w: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 xml:space="preserve"> </w:t>
            </w:r>
          </w:p>
          <w:p w:rsidR="006C1181" w:rsidRPr="006C1181" w:rsidRDefault="006C1181" w:rsidP="006C1181">
            <w:pPr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6C1181" w:rsidRPr="006C1181" w:rsidTr="007033BB">
        <w:trPr>
          <w:trHeight w:val="89"/>
          <w:jc w:val="center"/>
        </w:trPr>
        <w:tc>
          <w:tcPr>
            <w:tcW w:w="461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943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Wpływ na rozwiązanie wszystkich zdiagnozowanych problemów kluczowych interesariuszy.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120" w:after="120" w:line="240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Weryfikowane będzie rozwiązanie przez projekt wszystkich naglących problemów kluczowych interesariuszy.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W ramach kryterium można przyznać następujące punkty: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0 pkt – projekt przyczynia się do rozwiązania  wybranych problemów kluczowych interesariuszy w obszarze objętym projektem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1 pkt – projekt przyczynia się do rozwiązania wszystkich zdiagnozowanych problemów kluczowych interesariuszy w obszarze objętym projektem</w:t>
            </w:r>
          </w:p>
        </w:tc>
        <w:tc>
          <w:tcPr>
            <w:tcW w:w="4354" w:type="dxa"/>
            <w:vAlign w:val="center"/>
          </w:tcPr>
          <w:p w:rsidR="006C1181" w:rsidRPr="006C1181" w:rsidRDefault="006C1181" w:rsidP="006C1181">
            <w:pPr>
              <w:keepNext/>
              <w:suppressAutoHyphens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Kryterium punktowe –przyznanie 0 punktów nie dyskwalifikuje z możliwości uzyskania dofinansowania.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Za spełnienie tego kryterium projekt może otrzymać od 0 do 1 pkt (maksymalnie)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rPr>
          <w:trHeight w:val="2820"/>
          <w:jc w:val="center"/>
        </w:trPr>
        <w:tc>
          <w:tcPr>
            <w:tcW w:w="461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center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943" w:type="dxa"/>
            <w:vAlign w:val="center"/>
          </w:tcPr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Realizacja kilku komplementarnych celów.</w:t>
            </w:r>
          </w:p>
        </w:tc>
        <w:tc>
          <w:tcPr>
            <w:tcW w:w="6021" w:type="dxa"/>
            <w:shd w:val="clear" w:color="auto" w:fill="auto"/>
            <w:vAlign w:val="center"/>
          </w:tcPr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120" w:after="120" w:line="240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 xml:space="preserve">Weryfikowane będzie realizowanie przez projekt kilku różnych, ale uzupełniających się celów wynikających z analizy sytuacji problemowej 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W ramach kryterium można przyznać następujące punkty: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 xml:space="preserve">0 pkt – projekt realizuje jeden cel </w:t>
            </w:r>
          </w:p>
          <w:p w:rsidR="006C1181" w:rsidRPr="006C1181" w:rsidRDefault="006C1181" w:rsidP="006C1181">
            <w:pPr>
              <w:suppressAutoHyphens/>
              <w:spacing w:before="40" w:after="0" w:line="276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>1 pkt – projekt realizuje kilka uzupełniających się celów wymagających odrębnych działań.</w:t>
            </w:r>
          </w:p>
        </w:tc>
        <w:tc>
          <w:tcPr>
            <w:tcW w:w="4354" w:type="dxa"/>
            <w:vAlign w:val="center"/>
          </w:tcPr>
          <w:p w:rsidR="006C1181" w:rsidRPr="006C1181" w:rsidRDefault="006C1181" w:rsidP="006C1181">
            <w:pPr>
              <w:keepNext/>
              <w:suppressAutoHyphens/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color w:val="auto"/>
                <w:sz w:val="20"/>
                <w:szCs w:val="20"/>
                <w:lang w:eastAsia="en-US"/>
              </w:rPr>
              <w:t>Kryterium punktowe –przyznanie 0 punktów nie dyskwalifikuje z możliwości uzyskania dofinansowania.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after="120" w:line="240" w:lineRule="auto"/>
              <w:ind w:left="0" w:right="0" w:firstLine="0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  <w:t xml:space="preserve">Za spełnienie tego kryterium projekt może otrzymać  od 0 do 1 pkt (maksymalnie) </w:t>
            </w:r>
          </w:p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 w:after="0" w:line="276" w:lineRule="auto"/>
              <w:ind w:left="0" w:right="0" w:firstLine="0"/>
              <w:jc w:val="left"/>
              <w:rPr>
                <w:rFonts w:ascii="Calibri" w:eastAsia="Times New Roman" w:hAnsi="Calibri"/>
                <w:color w:val="auto"/>
                <w:sz w:val="20"/>
                <w:szCs w:val="20"/>
                <w:lang w:eastAsia="en-US"/>
              </w:rPr>
            </w:pPr>
          </w:p>
        </w:tc>
      </w:tr>
      <w:tr w:rsidR="006C1181" w:rsidRPr="006C1181" w:rsidTr="007033B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9"/>
          <w:jc w:val="center"/>
        </w:trPr>
        <w:tc>
          <w:tcPr>
            <w:tcW w:w="13779" w:type="dxa"/>
            <w:gridSpan w:val="4"/>
            <w:shd w:val="clear" w:color="auto" w:fill="C5E0B3"/>
          </w:tcPr>
          <w:p w:rsidR="006C1181" w:rsidRPr="006C1181" w:rsidRDefault="006C1181" w:rsidP="006C1181">
            <w:pPr>
              <w:keepNext/>
              <w:keepLines/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pacing w:before="40" w:after="0" w:line="276" w:lineRule="auto"/>
              <w:ind w:left="720" w:right="0" w:firstLine="0"/>
              <w:jc w:val="right"/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  <w:lang w:eastAsia="en-US"/>
              </w:rPr>
            </w:pPr>
            <w:r w:rsidRPr="006C1181">
              <w:rPr>
                <w:rFonts w:ascii="Calibri" w:eastAsia="Times New Roman" w:hAnsi="Calibri" w:cs="Tahoma"/>
                <w:b/>
                <w:color w:val="auto"/>
                <w:sz w:val="20"/>
                <w:szCs w:val="20"/>
                <w:lang w:eastAsia="en-US"/>
              </w:rPr>
              <w:t xml:space="preserve">Maksymalna liczba punktów: 38pkt </w:t>
            </w:r>
          </w:p>
        </w:tc>
      </w:tr>
    </w:tbl>
    <w:p w:rsidR="006C1181" w:rsidRPr="006C1181" w:rsidRDefault="006C1181" w:rsidP="006C1181">
      <w:pPr>
        <w:spacing w:after="200" w:line="276" w:lineRule="auto"/>
        <w:ind w:left="0" w:right="0" w:firstLine="0"/>
        <w:rPr>
          <w:rFonts w:ascii="Calibri" w:eastAsia="Times New Roman" w:hAnsi="Calibri" w:cs="Times New Roman"/>
          <w:color w:val="auto"/>
          <w:lang w:eastAsia="x-none"/>
        </w:rPr>
      </w:pPr>
    </w:p>
    <w:p w:rsidR="00BD7746" w:rsidRDefault="00BD7746" w:rsidP="00BD7746">
      <w:pPr>
        <w:spacing w:after="0" w:line="259" w:lineRule="auto"/>
        <w:ind w:left="0" w:right="0" w:firstLine="0"/>
        <w:jc w:val="left"/>
      </w:pPr>
    </w:p>
    <w:sectPr w:rsidR="00BD7746" w:rsidSect="00544BA2">
      <w:headerReference w:type="default" r:id="rId8"/>
      <w:footerReference w:type="default" r:id="rId9"/>
      <w:pgSz w:w="16838" w:h="11906" w:orient="landscape"/>
      <w:pgMar w:top="851" w:right="1134" w:bottom="567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035" w:rsidRDefault="00CE4035" w:rsidP="00BD7746">
      <w:pPr>
        <w:spacing w:after="0" w:line="240" w:lineRule="auto"/>
      </w:pPr>
      <w:r>
        <w:separator/>
      </w:r>
    </w:p>
  </w:endnote>
  <w:endnote w:type="continuationSeparator" w:id="0">
    <w:p w:rsidR="00CE4035" w:rsidRDefault="00CE4035" w:rsidP="00BD7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0640"/>
      <w:docPartObj>
        <w:docPartGallery w:val="Page Numbers (Bottom of Page)"/>
        <w:docPartUnique/>
      </w:docPartObj>
    </w:sdtPr>
    <w:sdtEndPr/>
    <w:sdtContent>
      <w:p w:rsidR="00CB53BF" w:rsidRDefault="00946C68">
        <w:pPr>
          <w:pStyle w:val="Stopka"/>
          <w:jc w:val="right"/>
        </w:pPr>
        <w:r>
          <w:fldChar w:fldCharType="begin"/>
        </w:r>
        <w:r w:rsidR="00413331">
          <w:instrText xml:space="preserve"> PAGE   \* MERGEFORMAT </w:instrText>
        </w:r>
        <w:r>
          <w:fldChar w:fldCharType="separate"/>
        </w:r>
        <w:r w:rsidR="001C76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53BF" w:rsidRDefault="00CB53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035" w:rsidRDefault="00CE4035" w:rsidP="00BD7746">
      <w:pPr>
        <w:spacing w:after="0" w:line="240" w:lineRule="auto"/>
      </w:pPr>
      <w:r>
        <w:separator/>
      </w:r>
    </w:p>
  </w:footnote>
  <w:footnote w:type="continuationSeparator" w:id="0">
    <w:p w:rsidR="00CE4035" w:rsidRDefault="00CE4035" w:rsidP="00BD7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746" w:rsidRDefault="00BD7746" w:rsidP="00BD7746">
    <w:pPr>
      <w:pStyle w:val="Nagwek"/>
      <w:tabs>
        <w:tab w:val="clear" w:pos="4536"/>
        <w:tab w:val="clear" w:pos="9072"/>
        <w:tab w:val="left" w:pos="2685"/>
      </w:tabs>
    </w:pPr>
    <w:r w:rsidRPr="00B762DF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852805</wp:posOffset>
          </wp:positionH>
          <wp:positionV relativeFrom="paragraph">
            <wp:posOffset>-449580</wp:posOffset>
          </wp:positionV>
          <wp:extent cx="6349365" cy="838200"/>
          <wp:effectExtent l="0" t="0" r="0" b="0"/>
          <wp:wrapTight wrapText="bothSides">
            <wp:wrapPolygon edited="0">
              <wp:start x="0" y="0"/>
              <wp:lineTo x="0" y="21109"/>
              <wp:lineTo x="21516" y="21109"/>
              <wp:lineTo x="21516" y="0"/>
              <wp:lineTo x="0" y="0"/>
            </wp:wrapPolygon>
          </wp:wrapTight>
          <wp:docPr id="2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936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25D"/>
    <w:multiLevelType w:val="hybridMultilevel"/>
    <w:tmpl w:val="5E6496EA"/>
    <w:lvl w:ilvl="0" w:tplc="35E879E4">
      <w:numFmt w:val="decimal"/>
      <w:lvlText w:val="%1"/>
      <w:lvlJc w:val="left"/>
      <w:pPr>
        <w:ind w:left="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F04A926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383748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5A4F96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4EDBB4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3041FE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88312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4A1EE4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506428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7300ED"/>
    <w:multiLevelType w:val="hybridMultilevel"/>
    <w:tmpl w:val="418CEE16"/>
    <w:lvl w:ilvl="0" w:tplc="4E7A37E8">
      <w:numFmt w:val="decimal"/>
      <w:lvlText w:val="%1"/>
      <w:lvlJc w:val="left"/>
      <w:pPr>
        <w:ind w:left="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D28B86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6ED56E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F87A0A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40928C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7A0BC94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74D67A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A08612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49D90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201A32"/>
    <w:multiLevelType w:val="hybridMultilevel"/>
    <w:tmpl w:val="59C44B46"/>
    <w:lvl w:ilvl="0" w:tplc="320A0680">
      <w:numFmt w:val="decimal"/>
      <w:lvlText w:val="%1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887300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1EA495C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6C7FE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2E5C8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EC848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CCB6B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E8E82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BE3CB8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6C52BC"/>
    <w:multiLevelType w:val="hybridMultilevel"/>
    <w:tmpl w:val="7B5E325A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D4658"/>
    <w:multiLevelType w:val="hybridMultilevel"/>
    <w:tmpl w:val="C87E4486"/>
    <w:lvl w:ilvl="0" w:tplc="5FCC8ECA">
      <w:start w:val="1"/>
      <w:numFmt w:val="bullet"/>
      <w:lvlText w:val=""/>
      <w:lvlJc w:val="left"/>
      <w:pPr>
        <w:ind w:left="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90A58E2">
      <w:start w:val="1"/>
      <w:numFmt w:val="bullet"/>
      <w:lvlText w:val="o"/>
      <w:lvlJc w:val="left"/>
      <w:pPr>
        <w:ind w:left="1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C85942">
      <w:start w:val="1"/>
      <w:numFmt w:val="bullet"/>
      <w:lvlText w:val="▪"/>
      <w:lvlJc w:val="left"/>
      <w:pPr>
        <w:ind w:left="1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0E1E3E">
      <w:start w:val="1"/>
      <w:numFmt w:val="bullet"/>
      <w:lvlText w:val="•"/>
      <w:lvlJc w:val="left"/>
      <w:pPr>
        <w:ind w:left="2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16F0EE">
      <w:start w:val="1"/>
      <w:numFmt w:val="bullet"/>
      <w:lvlText w:val="o"/>
      <w:lvlJc w:val="left"/>
      <w:pPr>
        <w:ind w:left="3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88948A">
      <w:start w:val="1"/>
      <w:numFmt w:val="bullet"/>
      <w:lvlText w:val="▪"/>
      <w:lvlJc w:val="left"/>
      <w:pPr>
        <w:ind w:left="4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3E07D0">
      <w:start w:val="1"/>
      <w:numFmt w:val="bullet"/>
      <w:lvlText w:val="•"/>
      <w:lvlJc w:val="left"/>
      <w:pPr>
        <w:ind w:left="48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C8E3E0">
      <w:start w:val="1"/>
      <w:numFmt w:val="bullet"/>
      <w:lvlText w:val="o"/>
      <w:lvlJc w:val="left"/>
      <w:pPr>
        <w:ind w:left="55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8A528">
      <w:start w:val="1"/>
      <w:numFmt w:val="bullet"/>
      <w:lvlText w:val="▪"/>
      <w:lvlJc w:val="left"/>
      <w:pPr>
        <w:ind w:left="62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1246CE"/>
    <w:multiLevelType w:val="hybridMultilevel"/>
    <w:tmpl w:val="238AD98E"/>
    <w:lvl w:ilvl="0" w:tplc="DFC40F2E">
      <w:start w:val="1"/>
      <w:numFmt w:val="decimal"/>
      <w:lvlText w:val="%1"/>
      <w:lvlJc w:val="left"/>
      <w:pPr>
        <w:ind w:left="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B0C75C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3A07FE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E623CE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0C001E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225A0A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3E3F52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788BC6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BC1482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20370D"/>
    <w:multiLevelType w:val="hybridMultilevel"/>
    <w:tmpl w:val="4416867C"/>
    <w:lvl w:ilvl="0" w:tplc="B00C5CCA">
      <w:start w:val="1"/>
      <w:numFmt w:val="bullet"/>
      <w:lvlText w:val=""/>
      <w:lvlJc w:val="left"/>
      <w:pPr>
        <w:ind w:left="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142410">
      <w:start w:val="1"/>
      <w:numFmt w:val="bullet"/>
      <w:lvlText w:val="o"/>
      <w:lvlJc w:val="left"/>
      <w:pPr>
        <w:ind w:left="1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3281BE">
      <w:start w:val="1"/>
      <w:numFmt w:val="bullet"/>
      <w:lvlText w:val="▪"/>
      <w:lvlJc w:val="left"/>
      <w:pPr>
        <w:ind w:left="19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E033C">
      <w:start w:val="1"/>
      <w:numFmt w:val="bullet"/>
      <w:lvlText w:val="•"/>
      <w:lvlJc w:val="left"/>
      <w:pPr>
        <w:ind w:left="26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2A1C50">
      <w:start w:val="1"/>
      <w:numFmt w:val="bullet"/>
      <w:lvlText w:val="o"/>
      <w:lvlJc w:val="left"/>
      <w:pPr>
        <w:ind w:left="33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72187E">
      <w:start w:val="1"/>
      <w:numFmt w:val="bullet"/>
      <w:lvlText w:val="▪"/>
      <w:lvlJc w:val="left"/>
      <w:pPr>
        <w:ind w:left="4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728480">
      <w:start w:val="1"/>
      <w:numFmt w:val="bullet"/>
      <w:lvlText w:val="•"/>
      <w:lvlJc w:val="left"/>
      <w:pPr>
        <w:ind w:left="48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70871E">
      <w:start w:val="1"/>
      <w:numFmt w:val="bullet"/>
      <w:lvlText w:val="o"/>
      <w:lvlJc w:val="left"/>
      <w:pPr>
        <w:ind w:left="5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A49408">
      <w:start w:val="1"/>
      <w:numFmt w:val="bullet"/>
      <w:lvlText w:val="▪"/>
      <w:lvlJc w:val="left"/>
      <w:pPr>
        <w:ind w:left="6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421671"/>
    <w:multiLevelType w:val="hybridMultilevel"/>
    <w:tmpl w:val="32787EF4"/>
    <w:lvl w:ilvl="0" w:tplc="FE3611CA">
      <w:numFmt w:val="decimal"/>
      <w:lvlText w:val="%1"/>
      <w:lvlJc w:val="left"/>
      <w:pPr>
        <w:ind w:left="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B6EE1E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54F3EA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E6115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5C34C2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D034FA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10BD4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2A28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B43C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6C325B3"/>
    <w:multiLevelType w:val="hybridMultilevel"/>
    <w:tmpl w:val="E604A79A"/>
    <w:lvl w:ilvl="0" w:tplc="FCA8497C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B7451"/>
    <w:multiLevelType w:val="hybridMultilevel"/>
    <w:tmpl w:val="0D40B92A"/>
    <w:lvl w:ilvl="0" w:tplc="0B78499A">
      <w:numFmt w:val="decimal"/>
      <w:lvlText w:val="%1"/>
      <w:lvlJc w:val="left"/>
      <w:pPr>
        <w:ind w:left="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EC9356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D01820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D0696E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CA4FDC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8C2AB4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CE14B6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E289C4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E08011C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4313E98"/>
    <w:multiLevelType w:val="hybridMultilevel"/>
    <w:tmpl w:val="318A042E"/>
    <w:lvl w:ilvl="0" w:tplc="639EFFCA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B782A"/>
    <w:multiLevelType w:val="hybridMultilevel"/>
    <w:tmpl w:val="8D649854"/>
    <w:lvl w:ilvl="0" w:tplc="4C42FF6C">
      <w:start w:val="1"/>
      <w:numFmt w:val="bullet"/>
      <w:lvlText w:val=""/>
      <w:lvlJc w:val="left"/>
      <w:pPr>
        <w:ind w:left="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66863A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B6948A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A441A6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182E46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624D0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5211A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FC1EC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3D0661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2247BC1"/>
    <w:multiLevelType w:val="hybridMultilevel"/>
    <w:tmpl w:val="F1644B6E"/>
    <w:lvl w:ilvl="0" w:tplc="4C106FEA">
      <w:start w:val="1"/>
      <w:numFmt w:val="bullet"/>
      <w:lvlText w:val=""/>
      <w:lvlJc w:val="left"/>
      <w:pPr>
        <w:ind w:left="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5E42C0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C0B9A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9C490C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5F86C20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00EF6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1A845C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0E7FA2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EFEC0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3040AB6"/>
    <w:multiLevelType w:val="hybridMultilevel"/>
    <w:tmpl w:val="30A0ED8E"/>
    <w:lvl w:ilvl="0" w:tplc="18001878">
      <w:start w:val="1"/>
      <w:numFmt w:val="bullet"/>
      <w:lvlText w:val=""/>
      <w:lvlJc w:val="left"/>
      <w:pPr>
        <w:ind w:left="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560A72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98BB9C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92651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04FAF2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FC3284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5847D0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B4CA94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8B31A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E43590"/>
    <w:multiLevelType w:val="hybridMultilevel"/>
    <w:tmpl w:val="0CD0FE0E"/>
    <w:lvl w:ilvl="0" w:tplc="1B4457D0">
      <w:numFmt w:val="decimal"/>
      <w:lvlText w:val="%1"/>
      <w:lvlJc w:val="left"/>
      <w:pPr>
        <w:ind w:left="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8E912A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58FCBE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8A8BEE2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E2D5FA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4EC17A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10B0E8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DC3686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7A4258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6510074"/>
    <w:multiLevelType w:val="hybridMultilevel"/>
    <w:tmpl w:val="30F0BD44"/>
    <w:lvl w:ilvl="0" w:tplc="8444C748">
      <w:numFmt w:val="decimal"/>
      <w:lvlText w:val="%1"/>
      <w:lvlJc w:val="left"/>
      <w:pPr>
        <w:ind w:left="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928EB2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A874D0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E0AA6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F6C4B6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7CBA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3A1CA6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3E6788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8A322A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CB82689"/>
    <w:multiLevelType w:val="hybridMultilevel"/>
    <w:tmpl w:val="21AE7BB2"/>
    <w:lvl w:ilvl="0" w:tplc="FF560CAA">
      <w:start w:val="1"/>
      <w:numFmt w:val="bullet"/>
      <w:lvlText w:val="*"/>
      <w:lvlJc w:val="left"/>
      <w:pPr>
        <w:ind w:left="143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0C830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9E03F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4453F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5701E9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1CE0B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4662A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0CE42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BEC40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013F31"/>
    <w:multiLevelType w:val="hybridMultilevel"/>
    <w:tmpl w:val="082E487A"/>
    <w:lvl w:ilvl="0" w:tplc="48987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077C1"/>
    <w:multiLevelType w:val="hybridMultilevel"/>
    <w:tmpl w:val="F6DA8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D24130"/>
    <w:multiLevelType w:val="hybridMultilevel"/>
    <w:tmpl w:val="26665C9A"/>
    <w:lvl w:ilvl="0" w:tplc="09787BF2">
      <w:start w:val="2"/>
      <w:numFmt w:val="decimal"/>
      <w:lvlText w:val="%1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D848A0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0EED9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36E07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101D3A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78D6C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B05016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BACA66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D0D3C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AA42E48"/>
    <w:multiLevelType w:val="hybridMultilevel"/>
    <w:tmpl w:val="91CA99AE"/>
    <w:lvl w:ilvl="0" w:tplc="43FA2AA4">
      <w:numFmt w:val="decimal"/>
      <w:lvlText w:val="%1"/>
      <w:lvlJc w:val="left"/>
      <w:pPr>
        <w:ind w:left="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D8C4CC">
      <w:start w:val="1"/>
      <w:numFmt w:val="lowerLetter"/>
      <w:lvlText w:val="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88CB30">
      <w:start w:val="1"/>
      <w:numFmt w:val="lowerRoman"/>
      <w:lvlText w:val="%3"/>
      <w:lvlJc w:val="left"/>
      <w:pPr>
        <w:ind w:left="1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063AB2">
      <w:start w:val="1"/>
      <w:numFmt w:val="decimal"/>
      <w:lvlText w:val="%4"/>
      <w:lvlJc w:val="left"/>
      <w:pPr>
        <w:ind w:left="2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AAA29A">
      <w:start w:val="1"/>
      <w:numFmt w:val="lowerLetter"/>
      <w:lvlText w:val="%5"/>
      <w:lvlJc w:val="left"/>
      <w:pPr>
        <w:ind w:left="3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104354">
      <w:start w:val="1"/>
      <w:numFmt w:val="lowerRoman"/>
      <w:lvlText w:val="%6"/>
      <w:lvlJc w:val="left"/>
      <w:pPr>
        <w:ind w:left="4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A0A076">
      <w:start w:val="1"/>
      <w:numFmt w:val="decimal"/>
      <w:lvlText w:val="%7"/>
      <w:lvlJc w:val="left"/>
      <w:pPr>
        <w:ind w:left="4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02AE56">
      <w:start w:val="1"/>
      <w:numFmt w:val="lowerLetter"/>
      <w:lvlText w:val="%8"/>
      <w:lvlJc w:val="left"/>
      <w:pPr>
        <w:ind w:left="5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087538">
      <w:start w:val="1"/>
      <w:numFmt w:val="lowerRoman"/>
      <w:lvlText w:val="%9"/>
      <w:lvlJc w:val="left"/>
      <w:pPr>
        <w:ind w:left="6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5"/>
  </w:num>
  <w:num w:numId="3">
    <w:abstractNumId w:val="7"/>
  </w:num>
  <w:num w:numId="4">
    <w:abstractNumId w:val="13"/>
  </w:num>
  <w:num w:numId="5">
    <w:abstractNumId w:val="14"/>
  </w:num>
  <w:num w:numId="6">
    <w:abstractNumId w:val="12"/>
  </w:num>
  <w:num w:numId="7">
    <w:abstractNumId w:val="20"/>
  </w:num>
  <w:num w:numId="8">
    <w:abstractNumId w:val="8"/>
  </w:num>
  <w:num w:numId="9">
    <w:abstractNumId w:val="2"/>
  </w:num>
  <w:num w:numId="10">
    <w:abstractNumId w:val="15"/>
  </w:num>
  <w:num w:numId="11">
    <w:abstractNumId w:val="10"/>
  </w:num>
  <w:num w:numId="12">
    <w:abstractNumId w:val="0"/>
  </w:num>
  <w:num w:numId="13">
    <w:abstractNumId w:val="16"/>
  </w:num>
  <w:num w:numId="14">
    <w:abstractNumId w:val="21"/>
  </w:num>
  <w:num w:numId="15">
    <w:abstractNumId w:val="6"/>
  </w:num>
  <w:num w:numId="16">
    <w:abstractNumId w:val="1"/>
  </w:num>
  <w:num w:numId="17">
    <w:abstractNumId w:val="18"/>
  </w:num>
  <w:num w:numId="18">
    <w:abstractNumId w:val="4"/>
  </w:num>
  <w:num w:numId="19">
    <w:abstractNumId w:val="1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746"/>
    <w:rsid w:val="00017398"/>
    <w:rsid w:val="00021214"/>
    <w:rsid w:val="000647C4"/>
    <w:rsid w:val="00083343"/>
    <w:rsid w:val="000A4C48"/>
    <w:rsid w:val="000A51F7"/>
    <w:rsid w:val="000C139D"/>
    <w:rsid w:val="000E2BF2"/>
    <w:rsid w:val="000F145C"/>
    <w:rsid w:val="0010400E"/>
    <w:rsid w:val="00114681"/>
    <w:rsid w:val="00150BD1"/>
    <w:rsid w:val="001B25D9"/>
    <w:rsid w:val="001B4E97"/>
    <w:rsid w:val="001B4F47"/>
    <w:rsid w:val="001C7693"/>
    <w:rsid w:val="001D73ED"/>
    <w:rsid w:val="0024026B"/>
    <w:rsid w:val="002C2925"/>
    <w:rsid w:val="002D1176"/>
    <w:rsid w:val="002E356E"/>
    <w:rsid w:val="002E4E04"/>
    <w:rsid w:val="0033040C"/>
    <w:rsid w:val="00331852"/>
    <w:rsid w:val="00350052"/>
    <w:rsid w:val="00357A56"/>
    <w:rsid w:val="003637CF"/>
    <w:rsid w:val="003B484F"/>
    <w:rsid w:val="003B6D21"/>
    <w:rsid w:val="00413331"/>
    <w:rsid w:val="00432CB7"/>
    <w:rsid w:val="004608D7"/>
    <w:rsid w:val="0046251C"/>
    <w:rsid w:val="00471AB2"/>
    <w:rsid w:val="004D20F0"/>
    <w:rsid w:val="004D4CC4"/>
    <w:rsid w:val="00544BA2"/>
    <w:rsid w:val="0055433C"/>
    <w:rsid w:val="0055554F"/>
    <w:rsid w:val="00564401"/>
    <w:rsid w:val="00597D13"/>
    <w:rsid w:val="005A3209"/>
    <w:rsid w:val="005A3A58"/>
    <w:rsid w:val="005C0E81"/>
    <w:rsid w:val="005C3190"/>
    <w:rsid w:val="005D27C5"/>
    <w:rsid w:val="005D3969"/>
    <w:rsid w:val="005E48FF"/>
    <w:rsid w:val="005F71B7"/>
    <w:rsid w:val="0062639A"/>
    <w:rsid w:val="0063631B"/>
    <w:rsid w:val="00650C17"/>
    <w:rsid w:val="00652C6B"/>
    <w:rsid w:val="00674C2E"/>
    <w:rsid w:val="0069079A"/>
    <w:rsid w:val="00690A91"/>
    <w:rsid w:val="006A5D1D"/>
    <w:rsid w:val="006B0ED8"/>
    <w:rsid w:val="006C1181"/>
    <w:rsid w:val="006F3AD2"/>
    <w:rsid w:val="00715B95"/>
    <w:rsid w:val="00726F60"/>
    <w:rsid w:val="00773E00"/>
    <w:rsid w:val="007C1EDB"/>
    <w:rsid w:val="007F20AB"/>
    <w:rsid w:val="008717A6"/>
    <w:rsid w:val="00873B3D"/>
    <w:rsid w:val="008852C4"/>
    <w:rsid w:val="008A6508"/>
    <w:rsid w:val="008D05F8"/>
    <w:rsid w:val="008D35B5"/>
    <w:rsid w:val="008F43EC"/>
    <w:rsid w:val="00925F6C"/>
    <w:rsid w:val="00946C68"/>
    <w:rsid w:val="00955F82"/>
    <w:rsid w:val="00977AB3"/>
    <w:rsid w:val="00985B50"/>
    <w:rsid w:val="009B06B7"/>
    <w:rsid w:val="009B19B4"/>
    <w:rsid w:val="009B5772"/>
    <w:rsid w:val="009C58CE"/>
    <w:rsid w:val="009C6B5F"/>
    <w:rsid w:val="009D56DA"/>
    <w:rsid w:val="009E11A4"/>
    <w:rsid w:val="00A00D48"/>
    <w:rsid w:val="00A10DBD"/>
    <w:rsid w:val="00A53EF1"/>
    <w:rsid w:val="00A60424"/>
    <w:rsid w:val="00A65095"/>
    <w:rsid w:val="00AB3874"/>
    <w:rsid w:val="00AB5EF1"/>
    <w:rsid w:val="00AD4A61"/>
    <w:rsid w:val="00AE0822"/>
    <w:rsid w:val="00AE1B97"/>
    <w:rsid w:val="00AF6632"/>
    <w:rsid w:val="00B00FA0"/>
    <w:rsid w:val="00B453CC"/>
    <w:rsid w:val="00B5147B"/>
    <w:rsid w:val="00B5609A"/>
    <w:rsid w:val="00B81734"/>
    <w:rsid w:val="00BC43CE"/>
    <w:rsid w:val="00BD7746"/>
    <w:rsid w:val="00BD7F00"/>
    <w:rsid w:val="00C16976"/>
    <w:rsid w:val="00C4631F"/>
    <w:rsid w:val="00C46340"/>
    <w:rsid w:val="00C94D2B"/>
    <w:rsid w:val="00C96B0C"/>
    <w:rsid w:val="00CB53BF"/>
    <w:rsid w:val="00CD6936"/>
    <w:rsid w:val="00CE152D"/>
    <w:rsid w:val="00CE4035"/>
    <w:rsid w:val="00D06923"/>
    <w:rsid w:val="00D17FC2"/>
    <w:rsid w:val="00D4729C"/>
    <w:rsid w:val="00DB7C29"/>
    <w:rsid w:val="00DC1EFB"/>
    <w:rsid w:val="00DF0E95"/>
    <w:rsid w:val="00DF6A19"/>
    <w:rsid w:val="00E570B3"/>
    <w:rsid w:val="00E616D6"/>
    <w:rsid w:val="00E67626"/>
    <w:rsid w:val="00E8255C"/>
    <w:rsid w:val="00E84A0C"/>
    <w:rsid w:val="00EA54E3"/>
    <w:rsid w:val="00EC7529"/>
    <w:rsid w:val="00ED2ABC"/>
    <w:rsid w:val="00EE7D2A"/>
    <w:rsid w:val="00EF2BA8"/>
    <w:rsid w:val="00F23A41"/>
    <w:rsid w:val="00F26A35"/>
    <w:rsid w:val="00F57244"/>
    <w:rsid w:val="00FC0A00"/>
    <w:rsid w:val="00FD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B2C7C-56A9-4897-8A18-DB489CF6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746"/>
    <w:pPr>
      <w:spacing w:after="158" w:line="270" w:lineRule="auto"/>
      <w:ind w:left="10" w:right="410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774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D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746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7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746"/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97F43-69B6-4DF7-ADA9-33EBA211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11</Pages>
  <Words>2955</Words>
  <Characters>17736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Kilijańska (Urbanowicz)</dc:creator>
  <cp:keywords/>
  <dc:description/>
  <cp:lastModifiedBy>Agata Kilijańska (Urbanowicz)</cp:lastModifiedBy>
  <cp:revision>15</cp:revision>
  <cp:lastPrinted>2017-01-24T11:50:00Z</cp:lastPrinted>
  <dcterms:created xsi:type="dcterms:W3CDTF">2016-12-30T13:31:00Z</dcterms:created>
  <dcterms:modified xsi:type="dcterms:W3CDTF">2017-02-20T10:50:00Z</dcterms:modified>
</cp:coreProperties>
</file>